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D" w:rsidRDefault="0061270D" w:rsidP="0061270D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Указания по заполнению формы федерального статистического наблюдения</w:t>
      </w:r>
    </w:p>
    <w:p w:rsidR="0061270D" w:rsidRDefault="0061270D" w:rsidP="0061270D">
      <w:pPr>
        <w:pStyle w:val="msonormalmailrucssattributepostfix"/>
        <w:spacing w:before="30" w:line="288" w:lineRule="atLeast"/>
        <w:ind w:firstLine="709"/>
        <w:jc w:val="both"/>
      </w:pPr>
      <w:r>
        <w:t xml:space="preserve">Форму федерального статистического наблюдения № 21-СХ «Сведения о реализации сельскохозяйственной продукции»  (далее </w:t>
      </w:r>
      <w:r>
        <w:sym w:font="Symbol" w:char="002D"/>
      </w:r>
      <w:r>
        <w:t xml:space="preserve"> форма) предоставляют юридические лица, осуществляющие сельскохозяйственную деятельность (кроме субъектов малого предпринимательства и крестьянских (фермерских) хозяйств).</w:t>
      </w:r>
    </w:p>
    <w:p w:rsidR="0061270D" w:rsidRDefault="0061270D" w:rsidP="0061270D">
      <w:pPr>
        <w:pStyle w:val="3"/>
        <w:suppressAutoHyphens/>
        <w:spacing w:after="0"/>
        <w:ind w:left="0" w:firstLine="709"/>
        <w:jc w:val="both"/>
        <w:rPr>
          <w:strike/>
          <w:sz w:val="24"/>
        </w:rPr>
      </w:pPr>
      <w:r>
        <w:rPr>
          <w:sz w:val="24"/>
        </w:rPr>
        <w:t>По форме за отчетный период возможно направление респондентом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подписанного в установленном порядке отчета по форме, </w:t>
      </w:r>
      <w:r>
        <w:rPr>
          <w:sz w:val="24"/>
          <w:lang w:val="ru-RU"/>
        </w:rPr>
        <w:br/>
      </w:r>
      <w:r>
        <w:rPr>
          <w:sz w:val="24"/>
        </w:rPr>
        <w:t>не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заполненного значениями показателей («пустого» отчета по форме). </w:t>
      </w:r>
    </w:p>
    <w:p w:rsidR="0061270D" w:rsidRDefault="0061270D" w:rsidP="0061270D">
      <w:pPr>
        <w:pStyle w:val="3"/>
        <w:suppressAutoHyphens/>
        <w:spacing w:after="0"/>
        <w:ind w:left="0" w:firstLine="709"/>
        <w:jc w:val="both"/>
        <w:rPr>
          <w:strike/>
          <w:sz w:val="24"/>
        </w:rPr>
      </w:pPr>
      <w:r>
        <w:rPr>
          <w:sz w:val="24"/>
        </w:rPr>
        <w:t xml:space="preserve">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 </w:t>
      </w:r>
    </w:p>
    <w:p w:rsidR="0061270D" w:rsidRDefault="0061270D" w:rsidP="0061270D">
      <w:pPr>
        <w:pStyle w:val="3"/>
        <w:suppressAutoHyphens/>
        <w:spacing w:after="0"/>
        <w:ind w:left="0" w:firstLine="709"/>
        <w:jc w:val="both"/>
        <w:rPr>
          <w:sz w:val="24"/>
        </w:rPr>
      </w:pPr>
      <w:r>
        <w:rPr>
          <w:sz w:val="24"/>
        </w:rPr>
        <w:t>Организации-банкроты, на которых введено конкурсное производство, не освобождаются от предоставления первичных статистических данных (далее – данные) по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</w:t>
      </w:r>
      <w:r>
        <w:rPr>
          <w:sz w:val="24"/>
          <w:lang w:val="ru-RU"/>
        </w:rPr>
        <w:t xml:space="preserve">ункт </w:t>
      </w:r>
      <w:r>
        <w:rPr>
          <w:sz w:val="24"/>
        </w:rPr>
        <w:t>3 ст</w:t>
      </w:r>
      <w:r>
        <w:rPr>
          <w:sz w:val="24"/>
          <w:lang w:val="ru-RU"/>
        </w:rPr>
        <w:t xml:space="preserve">атьи </w:t>
      </w:r>
      <w:r>
        <w:rPr>
          <w:sz w:val="24"/>
        </w:rPr>
        <w:t xml:space="preserve">149 Федерального закона </w:t>
      </w:r>
      <w:r>
        <w:rPr>
          <w:sz w:val="24"/>
          <w:lang w:val="ru-RU"/>
        </w:rPr>
        <w:br/>
      </w:r>
      <w:r>
        <w:rPr>
          <w:sz w:val="24"/>
        </w:rPr>
        <w:t>от 26</w:t>
      </w:r>
      <w:r>
        <w:rPr>
          <w:sz w:val="24"/>
          <w:lang w:val="ru-RU"/>
        </w:rPr>
        <w:t xml:space="preserve"> октября </w:t>
      </w:r>
      <w:r>
        <w:rPr>
          <w:sz w:val="24"/>
        </w:rPr>
        <w:t>2002</w:t>
      </w:r>
      <w:r>
        <w:rPr>
          <w:sz w:val="24"/>
          <w:lang w:val="ru-RU"/>
        </w:rPr>
        <w:t xml:space="preserve"> г.</w:t>
      </w:r>
      <w:r>
        <w:rPr>
          <w:sz w:val="24"/>
        </w:rPr>
        <w:t xml:space="preserve"> № 127-ФЗ «О несостоятельности (банкротстве)») организация-должник считается ликвидированной и освобождается </w:t>
      </w:r>
      <w:r>
        <w:rPr>
          <w:sz w:val="24"/>
          <w:lang w:val="ru-RU"/>
        </w:rPr>
        <w:br/>
      </w:r>
      <w:r>
        <w:rPr>
          <w:sz w:val="24"/>
        </w:rPr>
        <w:t>от предоставления данных по указанной форме.</w:t>
      </w:r>
    </w:p>
    <w:p w:rsidR="0061270D" w:rsidRDefault="0061270D" w:rsidP="0061270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Форму предоставляют также филиалы, представительства и </w:t>
      </w:r>
      <w:proofErr w:type="gramStart"/>
      <w:r>
        <w:rPr>
          <w:sz w:val="24"/>
        </w:rPr>
        <w:t>подразделения</w:t>
      </w:r>
      <w:proofErr w:type="gramEnd"/>
      <w:r>
        <w:rPr>
          <w:sz w:val="24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При налич</w:t>
      </w:r>
      <w:proofErr w:type="gramStart"/>
      <w:r>
        <w:rPr>
          <w:sz w:val="24"/>
        </w:rPr>
        <w:t>ии у ю</w:t>
      </w:r>
      <w:proofErr w:type="gramEnd"/>
      <w:r>
        <w:rPr>
          <w:sz w:val="24"/>
        </w:rPr>
        <w:t>ридического лица обособленных подразделений</w:t>
      </w:r>
      <w:r>
        <w:rPr>
          <w:rStyle w:val="a6"/>
          <w:sz w:val="24"/>
        </w:rPr>
        <w:footnoteReference w:id="2"/>
      </w:r>
      <w:r>
        <w:rPr>
          <w:sz w:val="24"/>
        </w:rPr>
        <w:t xml:space="preserve"> настоящая форма заполняется как по каждому обособленному </w:t>
      </w:r>
      <w:r>
        <w:rPr>
          <w:sz w:val="24"/>
        </w:rPr>
        <w:br/>
        <w:t>подразделению, так и по юридическому лицу без этих обособленных подразделений.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Заполненные формы предоставляются юридическим лицом в территориальные органы Росстата по месту фактического осуществления деятельности юридического лица (обособленного подразделения). 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При налич</w:t>
      </w:r>
      <w:proofErr w:type="gramStart"/>
      <w:r>
        <w:rPr>
          <w:sz w:val="24"/>
        </w:rPr>
        <w:t>ии у ю</w:t>
      </w:r>
      <w:proofErr w:type="gramEnd"/>
      <w:r>
        <w:rPr>
          <w:sz w:val="24"/>
        </w:rPr>
        <w:t>ридического лица обособленных подразделений, осуществляющих деятельность за пределами Российской Федерации, сведения по ним в настоящую форму не включаются.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</w:t>
      </w:r>
      <w:proofErr w:type="gramStart"/>
      <w:r>
        <w:rPr>
          <w:sz w:val="24"/>
        </w:rPr>
        <w:t>предоставлять отчет</w:t>
      </w:r>
      <w:proofErr w:type="gramEnd"/>
      <w:r>
        <w:rPr>
          <w:sz w:val="24"/>
        </w:rPr>
        <w:t xml:space="preserve"> по форме (включая данные реорганизованного юридического лица) в срок, указанный на бланке формы за период </w:t>
      </w:r>
      <w:r>
        <w:rPr>
          <w:sz w:val="24"/>
        </w:rPr>
        <w:br/>
        <w:t>с начала отчетного года, в котором произошла реорганизация.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</w:t>
      </w:r>
      <w:r>
        <w:rPr>
          <w:sz w:val="24"/>
        </w:rPr>
        <w:br/>
        <w:t xml:space="preserve">по обособленному подразделению юридического лица, указывается наименование </w:t>
      </w:r>
      <w:r>
        <w:rPr>
          <w:sz w:val="24"/>
        </w:rPr>
        <w:lastRenderedPageBreak/>
        <w:t xml:space="preserve">обособленного подразделения и юридического лица, </w:t>
      </w:r>
      <w:r>
        <w:rPr>
          <w:sz w:val="24"/>
        </w:rPr>
        <w:br/>
        <w:t>к которому оно относится.</w:t>
      </w:r>
    </w:p>
    <w:p w:rsidR="0061270D" w:rsidRDefault="0061270D" w:rsidP="0061270D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</w:t>
      </w:r>
      <w:r>
        <w:rPr>
          <w:sz w:val="24"/>
          <w:szCs w:val="24"/>
        </w:rPr>
        <w:br/>
        <w:t>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Для обособленных подразделений, не имеющих юридического адреса, указывается почтовый адрес с почтовым индексом.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интернет-сайте Росстата по адресу: http://websbor.gks.ru/online/#!/gs/statistic-codes, отчитывающаяся организация проставляет: 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подразделений; 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b/>
          <w:sz w:val="24"/>
        </w:rPr>
        <w:t>В разделе 1:</w:t>
      </w:r>
      <w:r>
        <w:rPr>
          <w:sz w:val="24"/>
        </w:rPr>
        <w:t xml:space="preserve"> 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В отчет включается вся продукция, реализованная с начала года. Данные о выручке от реализации сельскохозяйственной продукции должны соответствовать ее количеству, показанному в отчете. 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>Выручка отражается за вычетом суммы НДС, акциза и экспортных таможенных пошлин.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Количество реализованной продукции заполняется </w:t>
      </w:r>
      <w:r>
        <w:rPr>
          <w:b/>
          <w:sz w:val="24"/>
        </w:rPr>
        <w:t>в целых центнерах (кроме: яиц – тысяч штук; шкурок смушковых ягнят и пушных зверей – штук; коконов шелкопряда – килограмм)</w:t>
      </w:r>
      <w:r>
        <w:rPr>
          <w:sz w:val="24"/>
        </w:rPr>
        <w:t>; в случае малых величин допускается заполнение данных с десятичными знаками после запятой.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 В форму включается весь объем сельскохозяйственной продукции, реализованной за пределы хозяйства, а также переданной на переработку собственным несельскохозяйственным подразделениям. При этом по продукции, реализованной за пределы хозяйства, отражается ее вес в центнерах и выручка от реализации, а по переработанной в своем хозяйстве – вес продукции, переданной на переработку, в центнерах и фактическая производственная себестоимость.</w:t>
      </w:r>
    </w:p>
    <w:p w:rsidR="0061270D" w:rsidRDefault="0061270D" w:rsidP="0061270D">
      <w:pPr>
        <w:suppressAutoHyphens/>
        <w:ind w:firstLine="709"/>
        <w:jc w:val="both"/>
        <w:rPr>
          <w:b/>
          <w:sz w:val="24"/>
        </w:rPr>
      </w:pPr>
      <w:r>
        <w:rPr>
          <w:sz w:val="24"/>
        </w:rPr>
        <w:t xml:space="preserve">2. В графах 5, 6 показывается  продукция, поставленная потребителям </w:t>
      </w:r>
      <w:r>
        <w:rPr>
          <w:b/>
          <w:sz w:val="24"/>
        </w:rPr>
        <w:t>на основании государственного или муниципального контракта или договора поставки</w:t>
      </w:r>
      <w:r>
        <w:rPr>
          <w:sz w:val="24"/>
        </w:rPr>
        <w:t xml:space="preserve"> сельскохозяйственной продукции, сырья и продовольствия </w:t>
      </w:r>
      <w:r>
        <w:rPr>
          <w:b/>
          <w:sz w:val="24"/>
        </w:rPr>
        <w:t>для государственных или муниципальных нужд.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3. В графах 7 и 8 отражается продукция, проданная организациям потребительской кооперации (потребительским кооперативам </w:t>
      </w:r>
      <w:r>
        <w:rPr>
          <w:sz w:val="24"/>
        </w:rPr>
        <w:br/>
        <w:t xml:space="preserve">и потребительским обществам), </w:t>
      </w:r>
      <w:proofErr w:type="gramStart"/>
      <w:r>
        <w:rPr>
          <w:sz w:val="24"/>
        </w:rPr>
        <w:t>кроме</w:t>
      </w:r>
      <w:proofErr w:type="gramEnd"/>
      <w:r>
        <w:rPr>
          <w:sz w:val="24"/>
        </w:rPr>
        <w:t xml:space="preserve"> включенной в графы 5 и 6.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4. В графах 9 и 10 учитывается продукция, проданная другим потребителям (перерабатывающим организациям и организациям оптовой </w:t>
      </w:r>
      <w:r>
        <w:rPr>
          <w:sz w:val="24"/>
        </w:rPr>
        <w:br/>
        <w:t xml:space="preserve">торговли, на рынке, через торговую сеть, на ярмарках, биржах и аукционах, другим сельскохозяйственным товаропроизводителям, предприятиям </w:t>
      </w:r>
      <w:r>
        <w:rPr>
          <w:sz w:val="24"/>
        </w:rPr>
        <w:br/>
        <w:t xml:space="preserve">и организациям). В этих же графах отражаются бартерные (обменные) операции, включая расчет сельскохозяйственной продукцией, например, </w:t>
      </w:r>
      <w:r>
        <w:rPr>
          <w:sz w:val="24"/>
        </w:rPr>
        <w:br/>
        <w:t>за электроэнергию, технику, удобрения, переработку продукции, переданной на давальческих началах перерабатывающим организациям.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5. В графах 11 и </w:t>
      </w:r>
      <w:proofErr w:type="gramStart"/>
      <w:r>
        <w:rPr>
          <w:sz w:val="24"/>
        </w:rPr>
        <w:t>12</w:t>
      </w:r>
      <w:proofErr w:type="gramEnd"/>
      <w:r>
        <w:rPr>
          <w:sz w:val="24"/>
        </w:rPr>
        <w:t xml:space="preserve"> в том числе из граф 9 и 10 отражается продукция, проданная на рынке, через собственные магазины, палатки, киоски.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6. В графах 13 и 14 показывается сельскохозяйственная продукция, реализованная населению через систему общественного питания, </w:t>
      </w:r>
      <w:r>
        <w:rPr>
          <w:sz w:val="24"/>
        </w:rPr>
        <w:br/>
        <w:t xml:space="preserve">а также выданная (или проданная) в счет оплаты труда или в счет арендной платы по арендованным земельным долям. 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>Скот и птица, проданные населению, выданные в счет оплаты показываются:</w:t>
      </w:r>
    </w:p>
    <w:p w:rsidR="0061270D" w:rsidRDefault="0061270D" w:rsidP="0061270D">
      <w:pPr>
        <w:suppressAutoHyphens/>
        <w:ind w:left="709"/>
        <w:jc w:val="both"/>
        <w:rPr>
          <w:sz w:val="24"/>
        </w:rPr>
      </w:pPr>
      <w:r>
        <w:rPr>
          <w:sz w:val="24"/>
        </w:rPr>
        <w:t>взрослый скот по строкам 160</w:t>
      </w:r>
      <w:r>
        <w:rPr>
          <w:sz w:val="24"/>
        </w:rPr>
        <w:sym w:font="Symbol" w:char="002D"/>
      </w:r>
      <w:r>
        <w:rPr>
          <w:sz w:val="24"/>
        </w:rPr>
        <w:t xml:space="preserve">169 (скот и птица </w:t>
      </w:r>
      <w:r>
        <w:rPr>
          <w:sz w:val="24"/>
        </w:rPr>
        <w:sym w:font="Symbol" w:char="002D"/>
      </w:r>
      <w:r>
        <w:rPr>
          <w:sz w:val="24"/>
        </w:rPr>
        <w:t xml:space="preserve"> всего и по видам скота);</w:t>
      </w:r>
    </w:p>
    <w:p w:rsidR="0061270D" w:rsidRDefault="0061270D" w:rsidP="0061270D">
      <w:pPr>
        <w:suppressAutoHyphens/>
        <w:ind w:left="709"/>
        <w:jc w:val="both"/>
        <w:rPr>
          <w:sz w:val="24"/>
        </w:rPr>
      </w:pPr>
      <w:r>
        <w:rPr>
          <w:sz w:val="24"/>
        </w:rPr>
        <w:t>молодняк скота до 6 месяцев, суточные цыплята и молочные поросята  по строке 230 (прочие продукты животноводства).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Скот, переданный </w:t>
      </w:r>
      <w:proofErr w:type="spellStart"/>
      <w:r>
        <w:rPr>
          <w:sz w:val="24"/>
        </w:rPr>
        <w:t>сельхозорганизацией</w:t>
      </w:r>
      <w:proofErr w:type="spellEnd"/>
      <w:r>
        <w:rPr>
          <w:sz w:val="24"/>
        </w:rPr>
        <w:t xml:space="preserve"> населению для </w:t>
      </w:r>
      <w:proofErr w:type="spellStart"/>
      <w:r>
        <w:rPr>
          <w:sz w:val="24"/>
        </w:rPr>
        <w:t>доращивания</w:t>
      </w:r>
      <w:proofErr w:type="spellEnd"/>
      <w:r>
        <w:rPr>
          <w:sz w:val="24"/>
        </w:rPr>
        <w:t xml:space="preserve"> по договорам, то есть с последующим возвратом выращенного скота </w:t>
      </w:r>
      <w:r>
        <w:rPr>
          <w:sz w:val="24"/>
        </w:rPr>
        <w:br/>
        <w:t>в хозяйство, учитывается по соответствующему каналу после продажи самим хозяйством.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7. В графах 15 и 16 отражается продукция, переданная в собственные несельскохозяйственные подразделения (цеха) </w:t>
      </w:r>
      <w:r>
        <w:rPr>
          <w:sz w:val="24"/>
        </w:rPr>
        <w:br/>
        <w:t xml:space="preserve">для дальнейшей переработки. Учет продукции осуществляется по моменту передачи сельскохозяйственного сырья собственного производства </w:t>
      </w:r>
      <w:r>
        <w:rPr>
          <w:sz w:val="24"/>
        </w:rPr>
        <w:br/>
        <w:t>в такие подразделения по фактической производственной себестоимости.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8. Сельскохозяйственная продукция, сданная для переработки на давальческих условиях, отражается в реализации по соответствующему </w:t>
      </w:r>
      <w:r>
        <w:rPr>
          <w:sz w:val="24"/>
        </w:rPr>
        <w:br/>
        <w:t xml:space="preserve">каналу в пересчете на сельскохозяйственное сырье по мере реализации готовой продукции (включая растительное масло и сахар), полученной </w:t>
      </w:r>
      <w:r>
        <w:rPr>
          <w:sz w:val="24"/>
        </w:rPr>
        <w:br/>
      </w:r>
      <w:proofErr w:type="spellStart"/>
      <w:r>
        <w:rPr>
          <w:sz w:val="24"/>
        </w:rPr>
        <w:t>сельхозорганизацией</w:t>
      </w:r>
      <w:proofErr w:type="spellEnd"/>
      <w:r>
        <w:rPr>
          <w:sz w:val="24"/>
        </w:rPr>
        <w:t xml:space="preserve"> от перерабатывающей организации.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9. В строках 10 и 24 указывается реализация зерна, </w:t>
      </w:r>
      <w:r>
        <w:rPr>
          <w:b/>
          <w:sz w:val="24"/>
        </w:rPr>
        <w:t>включая зерно вики, люпина и прочих кормовых зернобобовых</w:t>
      </w:r>
      <w:r>
        <w:rPr>
          <w:sz w:val="24"/>
        </w:rPr>
        <w:t>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Перечень сортов пшеницы, которые сельхозпроизводители должны относить к твердым, мягким и сильным, определяется в соответствии </w:t>
      </w:r>
      <w:r>
        <w:rPr>
          <w:sz w:val="24"/>
        </w:rPr>
        <w:br/>
        <w:t>с Государственным реестром селекционных достижений, допущенных к использованию (далее – Реестр).</w:t>
      </w:r>
      <w:proofErr w:type="gramEnd"/>
      <w:r>
        <w:rPr>
          <w:sz w:val="24"/>
        </w:rPr>
        <w:t xml:space="preserve"> Актуальная версия Реестра размещена </w:t>
      </w:r>
      <w:r>
        <w:rPr>
          <w:sz w:val="24"/>
        </w:rPr>
        <w:br/>
        <w:t>на сайте Федерального государственного бюджетного учреждения «Государственная комиссия Российской Федерации по испытанию и охране селекционных достижений» (</w:t>
      </w:r>
      <w:hyperlink r:id="rId6" w:history="1">
        <w:r>
          <w:rPr>
            <w:rStyle w:val="a3"/>
            <w:sz w:val="24"/>
          </w:rPr>
          <w:t>https://gossortrf.ru/gosreestr/</w:t>
        </w:r>
      </w:hyperlink>
      <w:r>
        <w:rPr>
          <w:sz w:val="24"/>
        </w:rPr>
        <w:t>).</w:t>
      </w:r>
    </w:p>
    <w:p w:rsidR="0061270D" w:rsidRP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10. </w:t>
      </w:r>
      <w:proofErr w:type="gramStart"/>
      <w:r>
        <w:rPr>
          <w:sz w:val="24"/>
        </w:rPr>
        <w:t>В строках 52</w:t>
      </w:r>
      <w:r>
        <w:rPr>
          <w:sz w:val="24"/>
        </w:rPr>
        <w:sym w:font="Symbol" w:char="002D"/>
      </w:r>
      <w:r>
        <w:rPr>
          <w:sz w:val="24"/>
        </w:rPr>
        <w:t xml:space="preserve">54 показывается реализованная продукция эфиромасличных культур: по строке 52 </w:t>
      </w:r>
      <w:r>
        <w:rPr>
          <w:sz w:val="24"/>
        </w:rPr>
        <w:sym w:font="Symbol" w:char="002D"/>
      </w:r>
      <w:r>
        <w:rPr>
          <w:sz w:val="24"/>
        </w:rPr>
        <w:t xml:space="preserve"> семена аниса, бадьяна, кориандра, укропа, тмина и других, по строке 53 </w:t>
      </w:r>
      <w:r>
        <w:rPr>
          <w:sz w:val="24"/>
        </w:rPr>
        <w:sym w:font="Symbol" w:char="002D"/>
      </w:r>
      <w:r>
        <w:rPr>
          <w:sz w:val="24"/>
        </w:rPr>
        <w:t xml:space="preserve"> продукция пряностей необработанных (например, перец, тимьян, лист лавровый), по строке 54 – листья, стебли, цветки, кора и другое сырье, предназначенное для использования в парфюмерии, в качестве инсектицидов, фунгицидов и для аналогичных целей.</w:t>
      </w:r>
      <w:proofErr w:type="gramEnd"/>
      <w:r>
        <w:rPr>
          <w:sz w:val="24"/>
        </w:rPr>
        <w:t xml:space="preserve"> Продукция, реализованная для использования в фармации, отражается по строке 55 «Лекарственные культуры».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11. </w:t>
      </w:r>
      <w:proofErr w:type="gramStart"/>
      <w:r>
        <w:rPr>
          <w:sz w:val="24"/>
        </w:rPr>
        <w:t>В строке 81 отражается реализация прочих овощей: различной овощной зелени (салат, шпинат, лук на перо, укроп, щавель), столовых корнеплодов (петрушка, сельдерей, пастернак, редька, брюква, редис), перца, кабачков, тыквы и других овощей.</w:t>
      </w:r>
      <w:proofErr w:type="gramEnd"/>
      <w:r>
        <w:rPr>
          <w:sz w:val="24"/>
        </w:rPr>
        <w:t xml:space="preserve"> В эту же строку включаются и бобовые, созревание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не доведено до конца, например, горох, фасоль на лопатку и незрелые бобы, а также сахарная кукуруза в молочной </w:t>
      </w:r>
      <w:r>
        <w:rPr>
          <w:sz w:val="24"/>
        </w:rPr>
        <w:br/>
        <w:t>и молочно-восковой спелости, предназначенная для консервирования и использования в свежем виде на продовольствие.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12. По строке 140 (прочие продукты растениеводства) показывается выручка, полученная от реализации продукции растениеводства, </w:t>
      </w:r>
      <w:r>
        <w:rPr>
          <w:sz w:val="24"/>
        </w:rPr>
        <w:br/>
        <w:t>не перечисленной в строках 10</w:t>
      </w:r>
      <w:r>
        <w:rPr>
          <w:sz w:val="24"/>
        </w:rPr>
        <w:sym w:font="Symbol" w:char="002D"/>
      </w:r>
      <w:r>
        <w:rPr>
          <w:sz w:val="24"/>
        </w:rPr>
        <w:t>131.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>13. По строкам 160</w:t>
      </w:r>
      <w:r>
        <w:rPr>
          <w:sz w:val="24"/>
        </w:rPr>
        <w:sym w:font="Symbol" w:char="002D"/>
      </w:r>
      <w:r>
        <w:rPr>
          <w:sz w:val="24"/>
        </w:rPr>
        <w:t>169.4 отражается реализация скота и птицы собственного производства в живом весе. Проданные мясо и мясопродукты включаются в отчет в пересчете на живой вес по соответствующему виду скота.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>14. По строкам 221</w:t>
      </w:r>
      <w:r>
        <w:rPr>
          <w:sz w:val="24"/>
        </w:rPr>
        <w:sym w:font="Symbol" w:char="002D"/>
      </w:r>
      <w:r>
        <w:rPr>
          <w:sz w:val="24"/>
        </w:rPr>
        <w:t>228 показываются невыделанные шкурки пушных зверей клеточного содержания.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sz w:val="24"/>
        </w:rPr>
        <w:t>15. По строке 230 отражается выручка, полученная от реализации продукции животноводства, не перечисленной в строках 160</w:t>
      </w:r>
      <w:r>
        <w:rPr>
          <w:sz w:val="24"/>
        </w:rPr>
        <w:sym w:font="Symbol" w:char="002D"/>
      </w:r>
      <w:r>
        <w:rPr>
          <w:sz w:val="24"/>
        </w:rPr>
        <w:t>228, включая навоз.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b/>
          <w:sz w:val="24"/>
        </w:rPr>
        <w:t>В разделе 2</w:t>
      </w:r>
      <w:r>
        <w:rPr>
          <w:sz w:val="24"/>
        </w:rPr>
        <w:t xml:space="preserve"> показываются зерно злаковых и бобовых культур, семена и плоды масличных культур, сахарная свекла, скот и птица (в живом </w:t>
      </w:r>
      <w:r>
        <w:rPr>
          <w:sz w:val="24"/>
        </w:rPr>
        <w:br/>
        <w:t xml:space="preserve">весе), молоко всех видов, переданные сельскохозяйственными организациями на давальческих условиях, по моменту фактической приемки </w:t>
      </w:r>
      <w:r>
        <w:rPr>
          <w:sz w:val="24"/>
        </w:rPr>
        <w:br/>
        <w:t>перерабатывающими организациями.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r>
        <w:rPr>
          <w:b/>
          <w:sz w:val="24"/>
        </w:rPr>
        <w:t>В разделе 3</w:t>
      </w:r>
      <w:r>
        <w:rPr>
          <w:sz w:val="24"/>
        </w:rPr>
        <w:t xml:space="preserve"> приводятся данные о наличии продукции на конец отчетного </w:t>
      </w:r>
      <w:proofErr w:type="gramStart"/>
      <w:r>
        <w:rPr>
          <w:sz w:val="24"/>
        </w:rPr>
        <w:t>года</w:t>
      </w:r>
      <w:proofErr w:type="gramEnd"/>
      <w:r>
        <w:rPr>
          <w:sz w:val="24"/>
        </w:rPr>
        <w:t xml:space="preserve"> как собственного производства, так и поступившей со стороны. В соответствующих строках показывается продукция, находящаяся как в сельскохозяйственных организациях, так и переданная другим организациям для хранения и на давальческих условиях. Сельскохозяйственная продукция, переданная перерабатывающей организации в качестве расчета за переработку давальческого сырья, в этом разделе не показывается.</w:t>
      </w:r>
    </w:p>
    <w:p w:rsidR="0061270D" w:rsidRDefault="0061270D" w:rsidP="0061270D">
      <w:pPr>
        <w:suppressAutoHyphens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Подробные методологические рекомендации для заполнения показателей формы приведены в Указаниях по заполнению формы федерального статистического наблюдения № 21-СХ «Сведения о реализации сельскохозяйственной продукции», которые  размещены в открытом доступе </w:t>
      </w:r>
      <w:r>
        <w:rPr>
          <w:sz w:val="24"/>
        </w:rPr>
        <w:br/>
        <w:t xml:space="preserve">на официальном сайте Росстата в информационно-телекоммуникационной сети «Интернет» </w:t>
      </w:r>
      <w:r>
        <w:rPr>
          <w:sz w:val="24"/>
        </w:rPr>
        <w:sym w:font="Symbol" w:char="002D"/>
      </w:r>
      <w:r>
        <w:rPr>
          <w:sz w:val="24"/>
        </w:rPr>
        <w:t xml:space="preserve"> </w:t>
      </w:r>
      <w:hyperlink r:id="rId7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gks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  <w:r>
          <w:rPr>
            <w:rStyle w:val="a3"/>
            <w:sz w:val="24"/>
          </w:rPr>
          <w:t>/</w:t>
        </w:r>
      </w:hyperlink>
      <w:r w:rsidRPr="0061270D">
        <w:rPr>
          <w:sz w:val="24"/>
        </w:rPr>
        <w:t xml:space="preserve"> </w:t>
      </w:r>
      <w:r>
        <w:rPr>
          <w:sz w:val="24"/>
        </w:rPr>
        <w:t xml:space="preserve">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Поиск </w:t>
      </w:r>
      <w:r>
        <w:rPr>
          <w:sz w:val="24"/>
        </w:rPr>
        <w:br/>
        <w:t>по формам (21-СХ)/ Указания по заполнению</w:t>
      </w:r>
      <w:proofErr w:type="gramEnd"/>
      <w:r>
        <w:rPr>
          <w:sz w:val="24"/>
        </w:rPr>
        <w:t xml:space="preserve"> формы.</w:t>
      </w:r>
    </w:p>
    <w:p w:rsidR="0061270D" w:rsidRDefault="0061270D" w:rsidP="0061270D">
      <w:pPr>
        <w:suppressAutoHyphens/>
        <w:jc w:val="both"/>
      </w:pPr>
    </w:p>
    <w:p w:rsidR="0061270D" w:rsidRDefault="0061270D" w:rsidP="0061270D">
      <w:pPr>
        <w:suppressAutoHyphens/>
        <w:jc w:val="both"/>
      </w:pPr>
    </w:p>
    <w:p w:rsidR="0061270D" w:rsidRDefault="0061270D" w:rsidP="0061270D">
      <w:pPr>
        <w:pStyle w:val="2"/>
        <w:keepNext w:val="0"/>
        <w:spacing w:after="120" w:line="220" w:lineRule="exact"/>
      </w:pPr>
      <w:r>
        <w:t>Единицы измерения:</w:t>
      </w:r>
    </w:p>
    <w:p w:rsidR="0061270D" w:rsidRDefault="0061270D" w:rsidP="0061270D"/>
    <w:p w:rsidR="0061270D" w:rsidRDefault="0061270D" w:rsidP="0061270D">
      <w:pPr>
        <w:spacing w:line="260" w:lineRule="exact"/>
        <w:ind w:firstLine="709"/>
        <w:rPr>
          <w:sz w:val="24"/>
        </w:rPr>
      </w:pPr>
      <w:proofErr w:type="spellStart"/>
      <w:r>
        <w:rPr>
          <w:sz w:val="24"/>
        </w:rPr>
        <w:t>ц</w:t>
      </w:r>
      <w:proofErr w:type="spellEnd"/>
      <w:r>
        <w:rPr>
          <w:sz w:val="24"/>
        </w:rPr>
        <w:t xml:space="preserve"> – центнер</w:t>
      </w:r>
    </w:p>
    <w:p w:rsidR="0061270D" w:rsidRDefault="0061270D" w:rsidP="0061270D">
      <w:pPr>
        <w:spacing w:line="260" w:lineRule="exact"/>
        <w:ind w:firstLine="709"/>
        <w:rPr>
          <w:sz w:val="24"/>
        </w:rPr>
      </w:pPr>
      <w:proofErr w:type="spellStart"/>
      <w:proofErr w:type="gramStart"/>
      <w:r>
        <w:rPr>
          <w:sz w:val="24"/>
        </w:rPr>
        <w:t>тыс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 xml:space="preserve"> – тысяча штук</w:t>
      </w:r>
    </w:p>
    <w:p w:rsidR="0061270D" w:rsidRDefault="0061270D" w:rsidP="0061270D">
      <w:pPr>
        <w:spacing w:line="260" w:lineRule="exact"/>
        <w:ind w:firstLine="709"/>
        <w:rPr>
          <w:sz w:val="24"/>
        </w:rPr>
      </w:pP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 xml:space="preserve"> – штука</w:t>
      </w:r>
    </w:p>
    <w:p w:rsidR="0061270D" w:rsidRDefault="0061270D" w:rsidP="0061270D">
      <w:pPr>
        <w:spacing w:line="260" w:lineRule="exact"/>
        <w:ind w:firstLine="709"/>
        <w:rPr>
          <w:sz w:val="24"/>
        </w:rPr>
      </w:pPr>
      <w:proofErr w:type="spellStart"/>
      <w:proofErr w:type="gramStart"/>
      <w:r>
        <w:rPr>
          <w:sz w:val="24"/>
        </w:rPr>
        <w:t>тыс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 xml:space="preserve"> – тысяча рублей</w:t>
      </w:r>
    </w:p>
    <w:p w:rsidR="0061270D" w:rsidRDefault="0061270D" w:rsidP="0061270D">
      <w:pPr>
        <w:spacing w:line="260" w:lineRule="exact"/>
        <w:ind w:firstLine="709"/>
        <w:rPr>
          <w:sz w:val="24"/>
        </w:rPr>
      </w:pPr>
      <w:proofErr w:type="gramStart"/>
      <w:r>
        <w:rPr>
          <w:sz w:val="24"/>
        </w:rPr>
        <w:t>кг</w:t>
      </w:r>
      <w:proofErr w:type="gramEnd"/>
      <w:r>
        <w:rPr>
          <w:sz w:val="24"/>
        </w:rPr>
        <w:t xml:space="preserve"> </w:t>
      </w:r>
      <w:r>
        <w:rPr>
          <w:sz w:val="24"/>
        </w:rPr>
        <w:sym w:font="Symbol" w:char="002D"/>
      </w:r>
      <w:r>
        <w:rPr>
          <w:sz w:val="24"/>
        </w:rPr>
        <w:t xml:space="preserve"> килограмм</w:t>
      </w:r>
    </w:p>
    <w:p w:rsidR="004A32B5" w:rsidRDefault="0061270D" w:rsidP="0061270D">
      <w:r>
        <w:rPr>
          <w:b/>
          <w:sz w:val="24"/>
        </w:rPr>
        <w:br w:type="page"/>
      </w:r>
    </w:p>
    <w:sectPr w:rsidR="004A32B5" w:rsidSect="004A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0D" w:rsidRDefault="0061270D" w:rsidP="0061270D">
      <w:r>
        <w:separator/>
      </w:r>
    </w:p>
  </w:endnote>
  <w:endnote w:type="continuationSeparator" w:id="1">
    <w:p w:rsidR="0061270D" w:rsidRDefault="0061270D" w:rsidP="0061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0D" w:rsidRDefault="0061270D" w:rsidP="0061270D">
      <w:r>
        <w:separator/>
      </w:r>
    </w:p>
  </w:footnote>
  <w:footnote w:type="continuationSeparator" w:id="1">
    <w:p w:rsidR="0061270D" w:rsidRDefault="0061270D" w:rsidP="0061270D">
      <w:r>
        <w:continuationSeparator/>
      </w:r>
    </w:p>
  </w:footnote>
  <w:footnote w:id="2">
    <w:p w:rsidR="0061270D" w:rsidRDefault="0061270D" w:rsidP="0061270D">
      <w:pPr>
        <w:pStyle w:val="a4"/>
        <w:ind w:firstLine="720"/>
        <w:jc w:val="both"/>
      </w:pPr>
      <w:r>
        <w:rPr>
          <w:rStyle w:val="a6"/>
        </w:rPr>
        <w:footnoteRef/>
      </w:r>
      <w:r>
        <w:t xml:space="preserve"> Обособленное подразделение организации </w:t>
      </w:r>
      <w:r>
        <w:sym w:font="Symbol" w:char="002D"/>
      </w:r>
      <w: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</w:t>
      </w:r>
      <w:r>
        <w:br/>
        <w:t>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270D"/>
    <w:rsid w:val="004A32B5"/>
    <w:rsid w:val="0061270D"/>
    <w:rsid w:val="0073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270D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1270D"/>
  </w:style>
  <w:style w:type="character" w:customStyle="1" w:styleId="a5">
    <w:name w:val="Текст сноски Знак"/>
    <w:basedOn w:val="a0"/>
    <w:link w:val="a4"/>
    <w:semiHidden/>
    <w:rsid w:val="00612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1270D"/>
    <w:pPr>
      <w:spacing w:after="120"/>
      <w:ind w:left="283"/>
    </w:pPr>
    <w:rPr>
      <w:sz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61270D"/>
    <w:rPr>
      <w:rFonts w:ascii="Times New Roman" w:eastAsia="Times New Roman" w:hAnsi="Times New Roman" w:cs="Times New Roman"/>
      <w:sz w:val="16"/>
      <w:szCs w:val="20"/>
      <w:lang/>
    </w:rPr>
  </w:style>
  <w:style w:type="paragraph" w:customStyle="1" w:styleId="2">
    <w:name w:val="заголовок 2"/>
    <w:basedOn w:val="a"/>
    <w:next w:val="a"/>
    <w:rsid w:val="0061270D"/>
    <w:pPr>
      <w:keepNext/>
      <w:jc w:val="center"/>
    </w:pPr>
    <w:rPr>
      <w:b/>
      <w:sz w:val="24"/>
    </w:rPr>
  </w:style>
  <w:style w:type="paragraph" w:customStyle="1" w:styleId="msonormalmailrucssattributepostfix">
    <w:name w:val="msonormal_mailru_css_attribute_postfix"/>
    <w:basedOn w:val="a"/>
    <w:rsid w:val="0061270D"/>
    <w:rPr>
      <w:rFonts w:eastAsia="Calibri"/>
      <w:sz w:val="24"/>
      <w:szCs w:val="24"/>
    </w:rPr>
  </w:style>
  <w:style w:type="character" w:styleId="a6">
    <w:name w:val="footnote reference"/>
    <w:semiHidden/>
    <w:unhideWhenUsed/>
    <w:rsid w:val="006127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sortrf.ru/gosrees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P23_IsaevaNV</dc:creator>
  <cp:lastModifiedBy>P23_IsaevaNV</cp:lastModifiedBy>
  <cp:revision>1</cp:revision>
  <dcterms:created xsi:type="dcterms:W3CDTF">2022-12-29T07:27:00Z</dcterms:created>
  <dcterms:modified xsi:type="dcterms:W3CDTF">2022-12-29T07:28:00Z</dcterms:modified>
</cp:coreProperties>
</file>