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59" w:rsidRPr="002C3D10" w:rsidRDefault="000F6C59" w:rsidP="000F6C59">
      <w:pPr>
        <w:spacing w:before="60" w:after="60"/>
        <w:jc w:val="center"/>
        <w:rPr>
          <w:b/>
          <w:sz w:val="26"/>
        </w:rPr>
      </w:pPr>
      <w:r w:rsidRPr="002C3D10">
        <w:rPr>
          <w:b/>
          <w:sz w:val="26"/>
        </w:rPr>
        <w:t>Указания по заполнению формы федерального статистического наблюдения</w:t>
      </w:r>
    </w:p>
    <w:p w:rsidR="000F6C59" w:rsidRPr="002C3D10" w:rsidRDefault="000F6C59" w:rsidP="000F6C59">
      <w:pPr>
        <w:ind w:firstLine="709"/>
        <w:jc w:val="both"/>
      </w:pPr>
      <w:r w:rsidRPr="002C3D10">
        <w:t xml:space="preserve">1. Первичные статистические данные (далее – данные) по форме федерального статистического наблюдения № 9-СХ «Сведения </w:t>
      </w:r>
      <w:r w:rsidRPr="002C3D10">
        <w:br/>
        <w:t>о внесении удобрений и проведении работ по химической мелиорации земель</w:t>
      </w:r>
      <w:r w:rsidRPr="002C3D10">
        <w:rPr>
          <w:szCs w:val="24"/>
        </w:rPr>
        <w:t>» (далее – форма) предоставляют</w:t>
      </w:r>
      <w:r w:rsidRPr="002C3D10">
        <w:t xml:space="preserve"> юридические лица, осуществляющие сельскохозяйственную деятельность (кроме микропредприятий и крестьянских (фермерских) хозяйств). </w:t>
      </w:r>
    </w:p>
    <w:p w:rsidR="000F6C59" w:rsidRPr="002C3D10" w:rsidRDefault="000F6C59" w:rsidP="000F6C59">
      <w:pPr>
        <w:ind w:firstLine="709"/>
        <w:jc w:val="both"/>
        <w:rPr>
          <w:szCs w:val="24"/>
        </w:rPr>
      </w:pPr>
      <w:r w:rsidRPr="002C3D10">
        <w:t>Под сельскохозяйственной деятельностью понимается экономическая деятельность, относящаяся к подклассам 01.1, 01.2, 01.3, 01.4,  01.5, 01.6 ОКВЭД2.</w:t>
      </w:r>
      <w:r w:rsidRPr="002C3D10">
        <w:rPr>
          <w:szCs w:val="24"/>
        </w:rPr>
        <w:t xml:space="preserve"> </w:t>
      </w:r>
    </w:p>
    <w:p w:rsidR="000F6C59" w:rsidRPr="002C3D10" w:rsidRDefault="000F6C59" w:rsidP="000F6C59">
      <w:pPr>
        <w:ind w:firstLine="709"/>
        <w:jc w:val="both"/>
        <w:rPr>
          <w:szCs w:val="24"/>
        </w:rPr>
      </w:pPr>
      <w:r w:rsidRPr="002C3D10">
        <w:rPr>
          <w:szCs w:val="24"/>
        </w:rPr>
        <w:t xml:space="preserve">Сбор данных по малым предприятиям по форме осуществляется выборочно методом основного массива. Данные предоставляются </w:t>
      </w:r>
      <w:r w:rsidRPr="002C3D10">
        <w:rPr>
          <w:szCs w:val="24"/>
        </w:rPr>
        <w:br/>
        <w:t>при наличии посевной площади от 1 гектара в год.</w:t>
      </w:r>
    </w:p>
    <w:p w:rsidR="000F6C59" w:rsidRPr="002C3D10" w:rsidRDefault="000F6C59" w:rsidP="000F6C59">
      <w:pPr>
        <w:ind w:firstLine="709"/>
        <w:jc w:val="both"/>
      </w:pPr>
      <w:r w:rsidRPr="002C3D10">
        <w:t>Организации, в отношении которых в соответствии с Федеральным законом</w:t>
      </w:r>
      <w:r w:rsidRPr="002C3D10">
        <w:rPr>
          <w:spacing w:val="-2"/>
        </w:rPr>
        <w:t xml:space="preserve"> от 26 октября 2002 г.</w:t>
      </w:r>
      <w:r w:rsidRPr="002C3D10">
        <w:t xml:space="preserve"> № 127-ФЗ «О несостоятельности (банкротстве)» (далее – Закон о банкротстве) введены процедуры, применяемые в деле о банкротстве, предоставляют данные  по указанной 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должника.</w:t>
      </w:r>
    </w:p>
    <w:p w:rsidR="000F6C59" w:rsidRPr="002C3D10" w:rsidRDefault="000F6C59" w:rsidP="000F6C59">
      <w:pPr>
        <w:ind w:firstLine="709"/>
        <w:jc w:val="both"/>
      </w:pPr>
      <w:r w:rsidRPr="002C3D10">
        <w:t>Форму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0F6C59" w:rsidRPr="002C3D10" w:rsidRDefault="000F6C59" w:rsidP="000F6C59">
      <w:pPr>
        <w:ind w:firstLine="709"/>
        <w:jc w:val="both"/>
      </w:pPr>
      <w:r w:rsidRPr="002C3D10">
        <w:t xml:space="preserve">Форма предоставляется в территориальные органы Росстата только при наличии наблюдаемого явления (внесение удобрений, проведение работ по химической мелиорации земель, наличие посевной площади). В случае отсутствия явления отчет по форме </w:t>
      </w:r>
      <w:r w:rsidRPr="002C3D10">
        <w:br/>
        <w:t>в территориальные органы Росстата не предоставляется.</w:t>
      </w:r>
    </w:p>
    <w:p w:rsidR="000F6C59" w:rsidRPr="002C3D10" w:rsidRDefault="000F6C59" w:rsidP="000F6C59">
      <w:pPr>
        <w:ind w:firstLine="709"/>
        <w:jc w:val="both"/>
      </w:pPr>
      <w:r w:rsidRPr="002C3D10">
        <w:t>2. При наличии у юридического лица обособленных подразделений</w:t>
      </w:r>
      <w:r w:rsidRPr="002C3D10">
        <w:rPr>
          <w:vertAlign w:val="superscript"/>
        </w:rPr>
        <w:t>1</w:t>
      </w:r>
      <w:r w:rsidRPr="002C3D10">
        <w:t xml:space="preserve"> организации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0F6C59" w:rsidRPr="002C3D10" w:rsidRDefault="000F6C59" w:rsidP="000F6C59">
      <w:pPr>
        <w:ind w:firstLine="709"/>
        <w:jc w:val="both"/>
      </w:pPr>
      <w:r w:rsidRPr="002C3D10">
        <w:t xml:space="preserve">При наличии у юридического лица обособленных подразделений, осуществляющих деятельность за пределами </w:t>
      </w:r>
      <w:r w:rsidRPr="002C3D10">
        <w:br/>
        <w:t>Российской Федерации, данные по ним в настоящую форму не включаются.</w:t>
      </w:r>
    </w:p>
    <w:p w:rsidR="000F6C59" w:rsidRPr="002C3D10" w:rsidRDefault="000F6C59" w:rsidP="000F6C59">
      <w:pPr>
        <w:ind w:firstLine="709"/>
        <w:jc w:val="both"/>
      </w:pPr>
      <w:r w:rsidRPr="002C3D10">
        <w:t>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:rsidR="000F6C59" w:rsidRPr="002C3D10" w:rsidRDefault="000F6C59" w:rsidP="000F6C59">
      <w:pPr>
        <w:ind w:firstLine="709"/>
        <w:jc w:val="both"/>
      </w:pPr>
      <w:r w:rsidRPr="002C3D10">
        <w:t>Руководитель юридического лица назначает должностных лиц, уполномоченных предоставлять данные от имени юридического лица (в том числе в обособленных подразделениях).</w:t>
      </w:r>
    </w:p>
    <w:p w:rsidR="000F6C59" w:rsidRPr="002C3D10" w:rsidRDefault="000F6C59" w:rsidP="000F6C59">
      <w:pPr>
        <w:ind w:firstLine="709"/>
        <w:jc w:val="both"/>
      </w:pPr>
      <w:r w:rsidRPr="002C3D10">
        <w:t xml:space="preserve">При реорганизации юридического лица в форме преобразования юридическое лицо, являющееся правопреемником, </w:t>
      </w:r>
      <w:r w:rsidRPr="002C3D10">
        <w:br/>
        <w:t>с момента своего создания должно предоставлять отчет по форме (включая данные реорганизованного юридического лица) в срок, указанный на бланке формы за период с начала отчетного года, в котором произошла реорганизация.</w:t>
      </w:r>
    </w:p>
    <w:p w:rsidR="000F6C59" w:rsidRPr="002C3D10" w:rsidRDefault="000F6C59" w:rsidP="000F6C59">
      <w:pPr>
        <w:jc w:val="both"/>
      </w:pPr>
      <w:r w:rsidRPr="002C3D10">
        <w:t>___________________</w:t>
      </w:r>
    </w:p>
    <w:p w:rsidR="000F6C59" w:rsidRPr="002C3D10" w:rsidRDefault="000F6C59" w:rsidP="000F6C59">
      <w:pPr>
        <w:spacing w:before="40" w:line="240" w:lineRule="exact"/>
        <w:ind w:left="119" w:firstLine="709"/>
        <w:jc w:val="both"/>
        <w:rPr>
          <w:szCs w:val="24"/>
        </w:rPr>
      </w:pPr>
      <w:r w:rsidRPr="002C3D10">
        <w:rPr>
          <w:rStyle w:val="a7"/>
        </w:rPr>
        <w:footnoteRef/>
      </w:r>
      <w:r w:rsidRPr="002C3D10">
        <w:t xml:space="preserve"> </w:t>
      </w:r>
      <w:r w:rsidRPr="002C3D10">
        <w:rPr>
          <w:iCs/>
          <w:sz w:val="20"/>
        </w:rPr>
        <w:t xml:space="preserve">Обособленное подразделение организации </w:t>
      </w:r>
      <w:r w:rsidRPr="002C3D10">
        <w:rPr>
          <w:iCs/>
          <w:sz w:val="20"/>
        </w:rPr>
        <w:sym w:font="Symbol" w:char="F02D"/>
      </w:r>
      <w:r w:rsidRPr="002C3D10">
        <w:rPr>
          <w:iCs/>
          <w:sz w:val="20"/>
        </w:rPr>
        <w:t xml:space="preserve">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</w:t>
      </w:r>
      <w:r w:rsidRPr="002C3D10">
        <w:rPr>
          <w:iCs/>
          <w:sz w:val="20"/>
        </w:rPr>
        <w:br/>
        <w:t xml:space="preserve">При этом </w:t>
      </w:r>
      <w:hyperlink r:id="rId4" w:history="1">
        <w:r w:rsidRPr="002C3D10">
          <w:rPr>
            <w:rStyle w:val="a6"/>
            <w:iCs/>
            <w:sz w:val="20"/>
          </w:rPr>
          <w:t>рабочее место</w:t>
        </w:r>
      </w:hyperlink>
      <w:r w:rsidRPr="002C3D10">
        <w:rPr>
          <w:iCs/>
          <w:sz w:val="20"/>
        </w:rPr>
        <w:t xml:space="preserve"> считается стационарным, если оно создается на срок более одного месяца (пункт 2 статьи 11 Налогового кодекса Российской Федерации).</w:t>
      </w:r>
    </w:p>
    <w:p w:rsidR="000F6C59" w:rsidRPr="002C3D10" w:rsidRDefault="000F6C59" w:rsidP="000F6C59">
      <w:pPr>
        <w:pageBreakBefore/>
        <w:ind w:firstLine="709"/>
        <w:jc w:val="both"/>
      </w:pPr>
      <w:r w:rsidRPr="002C3D10">
        <w:lastRenderedPageBreak/>
        <w:t xml:space="preserve">3. 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данные </w:t>
      </w:r>
      <w:r w:rsidRPr="002C3D10">
        <w:br/>
        <w:t>по обособленному подразделению юридического лица, указывается наименование обособленного подразделения и юридического лица,</w:t>
      </w:r>
      <w:r w:rsidRPr="002C3D10">
        <w:br/>
        <w:t>к которому оно относится.</w:t>
      </w:r>
    </w:p>
    <w:p w:rsidR="000F6C59" w:rsidRPr="002C3D10" w:rsidRDefault="000F6C59" w:rsidP="000F6C59">
      <w:pPr>
        <w:ind w:firstLine="709"/>
        <w:jc w:val="both"/>
      </w:pPr>
      <w:r w:rsidRPr="002C3D10">
        <w:t xml:space="preserve"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</w:t>
      </w:r>
      <w:r w:rsidRPr="002C3D10">
        <w:br/>
        <w:t xml:space="preserve">с юридическим адресом. Для обособленных подразделений указывается почтовый адрес с почтовым индексом. </w:t>
      </w:r>
    </w:p>
    <w:p w:rsidR="000F6C59" w:rsidRPr="002C3D10" w:rsidRDefault="000F6C59" w:rsidP="000F6C59">
      <w:pPr>
        <w:ind w:firstLine="680"/>
        <w:jc w:val="both"/>
      </w:pPr>
      <w:r w:rsidRPr="002C3D10">
        <w:t xml:space="preserve">В кодовой части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«Интернет» по адресу: </w:t>
      </w:r>
      <w:r w:rsidRPr="002C3D10">
        <w:rPr>
          <w:lang w:val="en-US"/>
        </w:rPr>
        <w:t>https</w:t>
      </w:r>
      <w:r w:rsidRPr="002C3D10">
        <w:t>://</w:t>
      </w:r>
      <w:r w:rsidRPr="002C3D10">
        <w:rPr>
          <w:lang w:val="en-US"/>
        </w:rPr>
        <w:t>websbor</w:t>
      </w:r>
      <w:r w:rsidRPr="002C3D10">
        <w:t>.</w:t>
      </w:r>
      <w:r w:rsidRPr="002C3D10">
        <w:rPr>
          <w:lang w:val="en-US"/>
        </w:rPr>
        <w:t>gks</w:t>
      </w:r>
      <w:r w:rsidRPr="002C3D10">
        <w:t>.</w:t>
      </w:r>
      <w:r w:rsidRPr="002C3D10">
        <w:rPr>
          <w:lang w:val="en-US"/>
        </w:rPr>
        <w:t>ru</w:t>
      </w:r>
      <w:r w:rsidRPr="002C3D10">
        <w:t>/</w:t>
      </w:r>
      <w:r w:rsidRPr="002C3D10">
        <w:rPr>
          <w:lang w:val="en-US"/>
        </w:rPr>
        <w:t>online</w:t>
      </w:r>
      <w:r w:rsidRPr="002C3D10">
        <w:t>/</w:t>
      </w:r>
      <w:r w:rsidRPr="002C3D10">
        <w:rPr>
          <w:lang w:val="en-US"/>
        </w:rPr>
        <w:t>info</w:t>
      </w:r>
      <w:r w:rsidRPr="002C3D10">
        <w:t xml:space="preserve">, отчитывающаяся организация проставляет: </w:t>
      </w:r>
    </w:p>
    <w:p w:rsidR="000F6C59" w:rsidRPr="002C3D10" w:rsidRDefault="000F6C59" w:rsidP="000F6C59">
      <w:pPr>
        <w:ind w:firstLine="680"/>
        <w:jc w:val="both"/>
      </w:pPr>
      <w:r w:rsidRPr="002C3D10">
        <w:t xml:space="preserve">код по Общероссийскому классификатору предприятий и организаций (ОКПО) – для юридического лица, не имеющего обособленных подразделений, </w:t>
      </w:r>
    </w:p>
    <w:p w:rsidR="000F6C59" w:rsidRPr="002C3D10" w:rsidRDefault="000F6C59" w:rsidP="000F6C59">
      <w:pPr>
        <w:ind w:firstLine="680"/>
        <w:jc w:val="both"/>
      </w:pPr>
      <w:r w:rsidRPr="002C3D10">
        <w:t>идентификационный номер – для обособленного подразделения юридического лица и для головного подразделения юридического лица.</w:t>
      </w:r>
    </w:p>
    <w:p w:rsidR="000F6C59" w:rsidRPr="002C3D10" w:rsidRDefault="000F6C59" w:rsidP="000F6C59">
      <w:pPr>
        <w:ind w:firstLine="680"/>
        <w:jc w:val="both"/>
      </w:pPr>
      <w:r w:rsidRPr="002C3D10"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0F6C59" w:rsidRPr="002C3D10" w:rsidRDefault="000F6C59" w:rsidP="000F6C59">
      <w:pPr>
        <w:ind w:firstLine="709"/>
        <w:jc w:val="both"/>
      </w:pPr>
      <w:r w:rsidRPr="002C3D10">
        <w:t>4. В отчет по форме включаются данные об объемах внесения удобрений и объемах работ по химической мелиорации земель, выполненных как собственными силами хозяйства, так и другими предприятиями на основании актов приемки выполненных работ.</w:t>
      </w:r>
    </w:p>
    <w:p w:rsidR="000F6C59" w:rsidRPr="002C3D10" w:rsidRDefault="000F6C59" w:rsidP="000F6C59">
      <w:pPr>
        <w:ind w:firstLine="709"/>
        <w:jc w:val="both"/>
      </w:pPr>
      <w:r w:rsidRPr="002C3D10">
        <w:t xml:space="preserve">5. </w:t>
      </w:r>
      <w:r w:rsidRPr="002C3D10">
        <w:rPr>
          <w:b/>
        </w:rPr>
        <w:t>В разделе 1</w:t>
      </w:r>
      <w:r w:rsidRPr="002C3D10">
        <w:t xml:space="preserve"> показывается количество минеральных и органических удобрений, внесенных под урожай отчетного года, независимо от времени внесения удобрений </w:t>
      </w:r>
      <w:r w:rsidRPr="002C3D10">
        <w:sym w:font="Symbol" w:char="F02D"/>
      </w:r>
      <w:r w:rsidRPr="002C3D10">
        <w:t xml:space="preserve"> под пары и зябь в предыдущем году, а также перед посевом, во время сева и в виде подкормок, под посевы сельскохозяйственных культур, а также под многолетние насаждения, естественные сенокосы и пастбища, под посевы в защищенном грунте. Количество удобрений, внесенных под урожай будущего года, в отчет по форме не включается.</w:t>
      </w:r>
    </w:p>
    <w:p w:rsidR="000F6C59" w:rsidRPr="002C3D10" w:rsidRDefault="000F6C59" w:rsidP="000F6C59">
      <w:pPr>
        <w:ind w:firstLine="709"/>
        <w:jc w:val="both"/>
      </w:pPr>
      <w:r w:rsidRPr="002C3D10">
        <w:t>В графах 3</w:t>
      </w:r>
      <w:r w:rsidRPr="002C3D10">
        <w:sym w:font="Symbol" w:char="F02D"/>
      </w:r>
      <w:r w:rsidRPr="002C3D10">
        <w:t>6 показывается количество внесенных</w:t>
      </w:r>
      <w:r w:rsidRPr="002C3D10">
        <w:rPr>
          <w:b/>
        </w:rPr>
        <w:t xml:space="preserve"> </w:t>
      </w:r>
      <w:r w:rsidRPr="002C3D10">
        <w:t xml:space="preserve">минеральных удобрений только в пересчете на 100 % питательных веществ. Перевод физического веса удобрений в питательное вещество производится по вспомогательной таблице. В таблице по каждому виду удобрений выписывается название, количество в физическом весе, процент содержания питательного вещества и количество удобрения </w:t>
      </w:r>
      <w:r w:rsidRPr="002C3D10">
        <w:br/>
        <w:t xml:space="preserve">в пересчете на 100% питательного вещества, которое исчисляется путем умножения количества в физическом весе на процент содержания питательного вещества и деления на 100. Например, в сульфате аммония содержится 20% азота, внесено этого удобрения 77 тонн; </w:t>
      </w:r>
      <w:r w:rsidRPr="002C3D10">
        <w:br/>
        <w:t>в пересчете на 100% питательного вещества это составит: 77 * 20/100 = 15 т.</w:t>
      </w:r>
    </w:p>
    <w:p w:rsidR="000F6C59" w:rsidRPr="002C3D10" w:rsidRDefault="000F6C59" w:rsidP="000F6C59">
      <w:pPr>
        <w:ind w:firstLine="709"/>
        <w:jc w:val="both"/>
      </w:pPr>
      <w:r w:rsidRPr="002C3D10">
        <w:t xml:space="preserve">Данные о проценте содержания питательного вещества берутся из сопроводительных документов поставщиков удобрения. </w:t>
      </w:r>
    </w:p>
    <w:p w:rsidR="000F6C59" w:rsidRPr="002C3D10" w:rsidRDefault="000F6C59" w:rsidP="000F6C59">
      <w:pPr>
        <w:ind w:firstLine="709"/>
        <w:jc w:val="both"/>
      </w:pPr>
      <w:r w:rsidRPr="002C3D10">
        <w:t xml:space="preserve">В Приложении к настоящим указаниям приводится перечень наиболее часто встречающихся минеральных удобрений с указанием примерного процентного содержания питательного вещества. Питательные вещества в таблице сокращенно обозначены: </w:t>
      </w:r>
      <w:r w:rsidRPr="002C3D10">
        <w:br/>
        <w:t xml:space="preserve">по азотным удобрениям </w:t>
      </w:r>
      <w:r w:rsidRPr="002C3D10">
        <w:sym w:font="Symbol" w:char="F02D"/>
      </w:r>
      <w:r w:rsidRPr="002C3D10">
        <w:t xml:space="preserve"> N, фосфорным </w:t>
      </w:r>
      <w:r w:rsidRPr="002C3D10">
        <w:sym w:font="Symbol" w:char="F02D"/>
      </w:r>
      <w:r w:rsidRPr="002C3D10">
        <w:t xml:space="preserve"> Р</w:t>
      </w:r>
      <w:r w:rsidRPr="002C3D10">
        <w:rPr>
          <w:vertAlign w:val="subscript"/>
        </w:rPr>
        <w:t>2</w:t>
      </w:r>
      <w:r w:rsidRPr="002C3D10">
        <w:t>О</w:t>
      </w:r>
      <w:r w:rsidRPr="002C3D10">
        <w:rPr>
          <w:vertAlign w:val="subscript"/>
        </w:rPr>
        <w:t>5</w:t>
      </w:r>
      <w:r w:rsidRPr="002C3D10">
        <w:t xml:space="preserve"> и калийным </w:t>
      </w:r>
      <w:r w:rsidRPr="002C3D10">
        <w:sym w:font="Symbol" w:char="F02D"/>
      </w:r>
      <w:r w:rsidRPr="002C3D10">
        <w:t xml:space="preserve"> К</w:t>
      </w:r>
      <w:r w:rsidRPr="002C3D10">
        <w:rPr>
          <w:vertAlign w:val="subscript"/>
        </w:rPr>
        <w:t>2</w:t>
      </w:r>
      <w:r w:rsidRPr="002C3D10">
        <w:t>О.</w:t>
      </w:r>
    </w:p>
    <w:p w:rsidR="000F6C59" w:rsidRPr="002C3D10" w:rsidRDefault="000F6C59" w:rsidP="000F6C59">
      <w:pPr>
        <w:ind w:firstLine="709"/>
        <w:jc w:val="both"/>
      </w:pPr>
      <w:r w:rsidRPr="002C3D10">
        <w:t>Каждое удобрение в отчете по форме записывается обязательно по соответствующей группе – азотные, фосфорные или калийные.</w:t>
      </w:r>
    </w:p>
    <w:p w:rsidR="000F6C59" w:rsidRPr="002C3D10" w:rsidRDefault="000F6C59" w:rsidP="000F6C59">
      <w:pPr>
        <w:spacing w:line="280" w:lineRule="exact"/>
        <w:ind w:firstLine="709"/>
        <w:jc w:val="both"/>
      </w:pPr>
      <w:r w:rsidRPr="002C3D10">
        <w:lastRenderedPageBreak/>
        <w:t xml:space="preserve">В графе 7 отражается общее количество органических удобрений (например, навоза, различных компостов органоминеральных смесей, птичьего помета, соломы), внесенных в почву как в прошлом году под пары и зябь, так и в отчетном году при весенней обработке полей </w:t>
      </w:r>
      <w:r w:rsidRPr="002C3D10">
        <w:br/>
        <w:t>под урожай отчетного года.</w:t>
      </w:r>
    </w:p>
    <w:p w:rsidR="000F6C59" w:rsidRPr="002C3D10" w:rsidRDefault="000F6C59" w:rsidP="000F6C59">
      <w:pPr>
        <w:spacing w:line="280" w:lineRule="exact"/>
        <w:ind w:firstLine="709"/>
        <w:jc w:val="both"/>
      </w:pPr>
      <w:r w:rsidRPr="002C3D10">
        <w:t>В графе 8 показывается уточненная посевная площадь, равная посевной площади в отчете по формам федерального статистического наблюдения № 29-СХ «Сведения о сборе урожая сельскохозяйственных культур», № 2-фермер «Сведения о сборе урожая сельскохозяйственных культур».</w:t>
      </w:r>
    </w:p>
    <w:p w:rsidR="000F6C59" w:rsidRPr="002C3D10" w:rsidRDefault="000F6C59" w:rsidP="000F6C59">
      <w:pPr>
        <w:spacing w:line="280" w:lineRule="exact"/>
        <w:ind w:firstLine="709"/>
        <w:jc w:val="both"/>
      </w:pPr>
      <w:r w:rsidRPr="002C3D10">
        <w:t>В графах 9 и 10 по строкам 01</w:t>
      </w:r>
      <w:r w:rsidRPr="002C3D10">
        <w:sym w:font="Symbol" w:char="F02D"/>
      </w:r>
      <w:r w:rsidRPr="002C3D10">
        <w:t xml:space="preserve">17 указывается физическая удобренная площадь минеральными и органическими удобрениями, которая получается путем вычитания из общей посевной площади той или иной культуры площади тех участков, на которые вовсе не вносились удобрения под урожай отчетного года. </w:t>
      </w:r>
    </w:p>
    <w:p w:rsidR="000F6C59" w:rsidRPr="002C3D10" w:rsidRDefault="000F6C59" w:rsidP="000F6C59">
      <w:pPr>
        <w:spacing w:line="280" w:lineRule="exact"/>
        <w:ind w:firstLine="709"/>
        <w:jc w:val="both"/>
      </w:pPr>
      <w:r w:rsidRPr="002C3D10">
        <w:t xml:space="preserve">Пример: В организации имеется 25 га картофеля. Под урожай отчетного года минеральные удобрения вносились осенью предыдущего года, а также весной и летом отчетного года следующим образом: на площади 18 га удобрения вносились дважды, на площади 5 га </w:t>
      </w:r>
      <w:r w:rsidRPr="002C3D10">
        <w:sym w:font="Symbol" w:char="F02D"/>
      </w:r>
      <w:r w:rsidRPr="002C3D10">
        <w:t xml:space="preserve"> один раз, а на остальных 2 га минеральные удобрения вовсе не вносились. В этом случае в графе 8 отчета по строке 11 записывается 25 га, </w:t>
      </w:r>
      <w:r w:rsidRPr="002C3D10">
        <w:br/>
        <w:t>а в графе 9 – только 23 га (25 – 2).</w:t>
      </w:r>
    </w:p>
    <w:p w:rsidR="000F6C59" w:rsidRPr="002C3D10" w:rsidRDefault="000F6C59" w:rsidP="000F6C59">
      <w:pPr>
        <w:spacing w:line="280" w:lineRule="exact"/>
        <w:ind w:firstLine="709"/>
        <w:jc w:val="both"/>
      </w:pPr>
      <w:r w:rsidRPr="002C3D10">
        <w:t>По строкам 01</w:t>
      </w:r>
      <w:r w:rsidRPr="002C3D10">
        <w:sym w:font="Symbol" w:char="F02D"/>
      </w:r>
      <w:r w:rsidRPr="002C3D10">
        <w:t xml:space="preserve">17 количество удобрений по культурам должно соответствовать посевным и удобренным площадям, на которые они вносились. </w:t>
      </w:r>
    </w:p>
    <w:p w:rsidR="000F6C59" w:rsidRPr="002C3D10" w:rsidRDefault="000F6C59" w:rsidP="000F6C59">
      <w:pPr>
        <w:spacing w:line="280" w:lineRule="exact"/>
        <w:ind w:firstLine="709"/>
        <w:jc w:val="both"/>
      </w:pPr>
      <w:r w:rsidRPr="002C3D10">
        <w:t>По строкам 18</w:t>
      </w:r>
      <w:r w:rsidRPr="002C3D10">
        <w:sym w:font="Symbol" w:char="F02D"/>
      </w:r>
      <w:r w:rsidRPr="002C3D10">
        <w:t xml:space="preserve">20 в графах 9 и 10 отражается соответственно физическая удобренная площадь многолетних насаждений, естественных сенокосов и пастбищ, посевов сельскохозяйственных культур в защищенном грунте. </w:t>
      </w:r>
    </w:p>
    <w:p w:rsidR="000F6C59" w:rsidRPr="002C3D10" w:rsidRDefault="000F6C59" w:rsidP="000F6C59">
      <w:pPr>
        <w:spacing w:line="280" w:lineRule="exact"/>
        <w:ind w:firstLine="709"/>
        <w:jc w:val="both"/>
      </w:pPr>
      <w:r w:rsidRPr="002C3D10">
        <w:t xml:space="preserve">6. </w:t>
      </w:r>
      <w:r w:rsidRPr="002C3D10">
        <w:rPr>
          <w:b/>
        </w:rPr>
        <w:t>В разделе 2</w:t>
      </w:r>
      <w:r w:rsidRPr="002C3D10">
        <w:t xml:space="preserve"> по строкам 30, 32, 34 показывается площадь, на которую внесены за календарный год: в районах кислых почв – </w:t>
      </w:r>
      <w:r w:rsidRPr="002C3D10">
        <w:br/>
        <w:t>известковые материалы и фосфоритная мука, а в районах засоленных почв – гипс.</w:t>
      </w:r>
    </w:p>
    <w:p w:rsidR="000F6C59" w:rsidRPr="002C3D10" w:rsidRDefault="000F6C59" w:rsidP="000F6C59">
      <w:pPr>
        <w:spacing w:line="280" w:lineRule="exact"/>
        <w:ind w:firstLine="709"/>
        <w:jc w:val="both"/>
      </w:pPr>
      <w:r w:rsidRPr="002C3D10">
        <w:t>По строкам 31, 33, 35 отражается количество известняковой муки и других известковых материалов, гипса, фосфогипса и других гипсосодержащих пород, фосфоритной муки, внесенных на площадь, показанную по строкам 30, 32, 34.</w:t>
      </w:r>
    </w:p>
    <w:p w:rsidR="000F6C59" w:rsidRPr="002C3D10" w:rsidRDefault="000F6C59" w:rsidP="000F6C59">
      <w:pPr>
        <w:pStyle w:val="1"/>
        <w:spacing w:before="0" w:after="0"/>
        <w:rPr>
          <w:rFonts w:ascii="Times New Roman" w:hAnsi="Times New Roman"/>
          <w:sz w:val="24"/>
        </w:rPr>
      </w:pPr>
    </w:p>
    <w:p w:rsidR="000F6C59" w:rsidRPr="002C3D10" w:rsidRDefault="000F6C59" w:rsidP="000F6C59"/>
    <w:p w:rsidR="000F6C59" w:rsidRPr="002C3D10" w:rsidRDefault="000F6C59" w:rsidP="000F6C59">
      <w:pPr>
        <w:pStyle w:val="1"/>
        <w:spacing w:before="0" w:after="0"/>
        <w:rPr>
          <w:rFonts w:ascii="Times New Roman" w:hAnsi="Times New Roman"/>
          <w:sz w:val="24"/>
        </w:rPr>
      </w:pPr>
      <w:r w:rsidRPr="002C3D10">
        <w:rPr>
          <w:rFonts w:ascii="Times New Roman" w:hAnsi="Times New Roman"/>
          <w:sz w:val="24"/>
        </w:rPr>
        <w:t xml:space="preserve">Арифметические и логические контроли: </w:t>
      </w:r>
    </w:p>
    <w:p w:rsidR="000F6C59" w:rsidRPr="002C3D10" w:rsidRDefault="000F6C59" w:rsidP="000F6C59">
      <w:pPr>
        <w:rPr>
          <w:b/>
        </w:rPr>
      </w:pPr>
      <w:r w:rsidRPr="002C3D10">
        <w:rPr>
          <w:b/>
        </w:rPr>
        <w:t xml:space="preserve">Раздел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5040"/>
      </w:tblGrid>
      <w:tr w:rsidR="000F6C59" w:rsidRPr="002C3D10" w:rsidTr="000D54B9"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9" w:rsidRPr="002C3D10" w:rsidRDefault="000F6C59" w:rsidP="000D54B9">
            <w:pPr>
              <w:jc w:val="both"/>
            </w:pPr>
            <w:r w:rsidRPr="002C3D10">
              <w:t>стр. 01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9" w:rsidRPr="002C3D10" w:rsidRDefault="000F6C59" w:rsidP="000D54B9">
            <w:pPr>
              <w:jc w:val="center"/>
            </w:pPr>
            <w:r w:rsidRPr="002C3D10">
              <w:t>=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F6C59" w:rsidRPr="002C3D10" w:rsidRDefault="000F6C59" w:rsidP="000D54B9">
            <w:r w:rsidRPr="002C3D10">
              <w:t>стр. (02</w:t>
            </w:r>
            <w:r w:rsidRPr="002C3D10">
              <w:rPr>
                <w:lang w:val="en-US"/>
              </w:rPr>
              <w:t xml:space="preserve"> </w:t>
            </w:r>
            <w:r w:rsidRPr="002C3D10">
              <w:t>+</w:t>
            </w:r>
            <w:r w:rsidRPr="002C3D10">
              <w:rPr>
                <w:lang w:val="en-US"/>
              </w:rPr>
              <w:t xml:space="preserve"> </w:t>
            </w:r>
            <w:r w:rsidRPr="002C3D10">
              <w:t>05</w:t>
            </w:r>
            <w:r w:rsidRPr="002C3D10">
              <w:rPr>
                <w:lang w:val="en-US"/>
              </w:rPr>
              <w:t xml:space="preserve"> </w:t>
            </w:r>
            <w:r w:rsidRPr="002C3D10">
              <w:t>+</w:t>
            </w:r>
            <w:r w:rsidRPr="002C3D10">
              <w:rPr>
                <w:lang w:val="en-US"/>
              </w:rPr>
              <w:t xml:space="preserve"> </w:t>
            </w:r>
            <w:r w:rsidRPr="002C3D10">
              <w:t>06</w:t>
            </w:r>
            <w:r w:rsidRPr="002C3D10">
              <w:rPr>
                <w:lang w:val="en-US"/>
              </w:rPr>
              <w:t xml:space="preserve"> </w:t>
            </w:r>
            <w:r w:rsidRPr="002C3D10">
              <w:t>+</w:t>
            </w:r>
            <w:r w:rsidRPr="002C3D10">
              <w:rPr>
                <w:lang w:val="en-US"/>
              </w:rPr>
              <w:t xml:space="preserve"> </w:t>
            </w:r>
            <w:r w:rsidRPr="002C3D10">
              <w:t>12</w:t>
            </w:r>
            <w:r w:rsidRPr="002C3D10">
              <w:rPr>
                <w:lang w:val="en-US"/>
              </w:rPr>
              <w:t xml:space="preserve"> </w:t>
            </w:r>
            <w:r w:rsidRPr="002C3D10">
              <w:t>+</w:t>
            </w:r>
            <w:r w:rsidRPr="002C3D10">
              <w:rPr>
                <w:lang w:val="en-US"/>
              </w:rPr>
              <w:t xml:space="preserve"> </w:t>
            </w:r>
            <w:r w:rsidRPr="002C3D10">
              <w:t>13</w:t>
            </w:r>
            <w:r w:rsidRPr="002C3D10">
              <w:rPr>
                <w:lang w:val="en-US"/>
              </w:rPr>
              <w:t xml:space="preserve"> </w:t>
            </w:r>
            <w:r w:rsidRPr="002C3D10">
              <w:t>+</w:t>
            </w:r>
            <w:r w:rsidRPr="002C3D10">
              <w:rPr>
                <w:lang w:val="en-US"/>
              </w:rPr>
              <w:t xml:space="preserve"> </w:t>
            </w:r>
            <w:r w:rsidRPr="002C3D10">
              <w:t>14 + 15)</w:t>
            </w:r>
          </w:p>
        </w:tc>
      </w:tr>
      <w:tr w:rsidR="000F6C59" w:rsidRPr="002C3D10" w:rsidTr="000D54B9"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9" w:rsidRPr="002C3D10" w:rsidRDefault="000F6C59" w:rsidP="000D54B9">
            <w:pPr>
              <w:jc w:val="both"/>
            </w:pPr>
            <w:r w:rsidRPr="002C3D10">
              <w:t xml:space="preserve">стр. 02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9" w:rsidRPr="002C3D10" w:rsidRDefault="000F6C59" w:rsidP="000D54B9">
            <w:pPr>
              <w:jc w:val="center"/>
            </w:pPr>
            <w:r w:rsidRPr="002C3D10">
              <w:sym w:font="Symbol" w:char="F0B3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F6C59" w:rsidRPr="002C3D10" w:rsidRDefault="000F6C59" w:rsidP="000D54B9">
            <w:r w:rsidRPr="002C3D10">
              <w:t>стр. (03</w:t>
            </w:r>
            <w:r w:rsidRPr="002C3D10">
              <w:rPr>
                <w:lang w:val="en-US"/>
              </w:rPr>
              <w:t xml:space="preserve"> </w:t>
            </w:r>
            <w:r w:rsidRPr="002C3D10">
              <w:t>+</w:t>
            </w:r>
            <w:r w:rsidRPr="002C3D10">
              <w:rPr>
                <w:lang w:val="en-US"/>
              </w:rPr>
              <w:t xml:space="preserve"> </w:t>
            </w:r>
            <w:r w:rsidRPr="002C3D10">
              <w:t>04)</w:t>
            </w:r>
          </w:p>
        </w:tc>
      </w:tr>
      <w:tr w:rsidR="000F6C59" w:rsidRPr="002C3D10" w:rsidTr="000D54B9">
        <w:trPr>
          <w:trHeight w:val="64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9" w:rsidRPr="002C3D10" w:rsidRDefault="000F6C59" w:rsidP="000D54B9">
            <w:pPr>
              <w:jc w:val="both"/>
            </w:pPr>
            <w:r w:rsidRPr="002C3D10">
              <w:t>стр. 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9" w:rsidRPr="002C3D10" w:rsidRDefault="000F6C59" w:rsidP="000D54B9">
            <w:pPr>
              <w:jc w:val="center"/>
            </w:pPr>
            <w:r w:rsidRPr="002C3D10">
              <w:sym w:font="Symbol" w:char="F0B3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F6C59" w:rsidRPr="002C3D10" w:rsidRDefault="000F6C59" w:rsidP="000D54B9">
            <w:r w:rsidRPr="002C3D10">
              <w:t>стр. (07</w:t>
            </w:r>
            <w:r w:rsidRPr="002C3D10">
              <w:rPr>
                <w:lang w:val="en-US"/>
              </w:rPr>
              <w:t xml:space="preserve"> </w:t>
            </w:r>
            <w:r w:rsidRPr="002C3D10">
              <w:t>+</w:t>
            </w:r>
            <w:r w:rsidRPr="002C3D10">
              <w:rPr>
                <w:lang w:val="en-US"/>
              </w:rPr>
              <w:t xml:space="preserve"> </w:t>
            </w:r>
            <w:r w:rsidRPr="002C3D10">
              <w:t>08</w:t>
            </w:r>
            <w:r w:rsidRPr="002C3D10">
              <w:rPr>
                <w:lang w:val="en-US"/>
              </w:rPr>
              <w:t xml:space="preserve"> </w:t>
            </w:r>
            <w:r w:rsidRPr="002C3D10">
              <w:t>+</w:t>
            </w:r>
            <w:r w:rsidRPr="002C3D10">
              <w:rPr>
                <w:lang w:val="en-US"/>
              </w:rPr>
              <w:t xml:space="preserve"> </w:t>
            </w:r>
            <w:r w:rsidRPr="002C3D10">
              <w:t>09</w:t>
            </w:r>
            <w:r w:rsidRPr="002C3D10">
              <w:rPr>
                <w:lang w:val="en-US"/>
              </w:rPr>
              <w:t xml:space="preserve"> </w:t>
            </w:r>
            <w:r w:rsidRPr="002C3D10">
              <w:t>+</w:t>
            </w:r>
            <w:r w:rsidRPr="002C3D10">
              <w:rPr>
                <w:lang w:val="en-US"/>
              </w:rPr>
              <w:t xml:space="preserve"> </w:t>
            </w:r>
            <w:r w:rsidRPr="002C3D10">
              <w:t>10</w:t>
            </w:r>
            <w:r w:rsidRPr="002C3D10">
              <w:rPr>
                <w:lang w:val="en-US"/>
              </w:rPr>
              <w:t xml:space="preserve"> + 11</w:t>
            </w:r>
            <w:r w:rsidRPr="002C3D10">
              <w:t>)</w:t>
            </w:r>
          </w:p>
        </w:tc>
      </w:tr>
      <w:tr w:rsidR="000F6C59" w:rsidRPr="002C3D10" w:rsidTr="000D54B9"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9" w:rsidRPr="002C3D10" w:rsidRDefault="000F6C59" w:rsidP="000D54B9">
            <w:pPr>
              <w:jc w:val="both"/>
            </w:pPr>
            <w:r w:rsidRPr="002C3D10">
              <w:t>стр.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9" w:rsidRPr="002C3D10" w:rsidRDefault="000F6C59" w:rsidP="000D54B9">
            <w:pPr>
              <w:jc w:val="center"/>
            </w:pPr>
            <w:r w:rsidRPr="002C3D10">
              <w:sym w:font="Symbol" w:char="F0B3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F6C59" w:rsidRPr="002C3D10" w:rsidRDefault="000F6C59" w:rsidP="000D54B9">
            <w:r w:rsidRPr="002C3D10">
              <w:t>стр. (16</w:t>
            </w:r>
            <w:r w:rsidRPr="002C3D10">
              <w:rPr>
                <w:lang w:val="en-US"/>
              </w:rPr>
              <w:t xml:space="preserve"> </w:t>
            </w:r>
            <w:r w:rsidRPr="002C3D10">
              <w:t>+</w:t>
            </w:r>
            <w:r w:rsidRPr="002C3D10">
              <w:rPr>
                <w:lang w:val="en-US"/>
              </w:rPr>
              <w:t xml:space="preserve"> </w:t>
            </w:r>
            <w:r w:rsidRPr="002C3D10">
              <w:t>17)</w:t>
            </w:r>
          </w:p>
        </w:tc>
      </w:tr>
      <w:tr w:rsidR="000F6C59" w:rsidRPr="002C3D10" w:rsidTr="000D54B9"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9" w:rsidRPr="002C3D10" w:rsidRDefault="000F6C59" w:rsidP="000D54B9">
            <w:pPr>
              <w:jc w:val="both"/>
            </w:pPr>
            <w:r w:rsidRPr="002C3D10">
              <w:t xml:space="preserve">стр. 21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9" w:rsidRPr="002C3D10" w:rsidRDefault="000F6C59" w:rsidP="000D54B9">
            <w:pPr>
              <w:jc w:val="center"/>
            </w:pPr>
            <w:r w:rsidRPr="002C3D10">
              <w:t>=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F6C59" w:rsidRPr="002C3D10" w:rsidRDefault="000F6C59" w:rsidP="000D54B9">
            <w:r w:rsidRPr="002C3D10">
              <w:t>стр. (01</w:t>
            </w:r>
            <w:r w:rsidRPr="002C3D10">
              <w:rPr>
                <w:lang w:val="en-US"/>
              </w:rPr>
              <w:t xml:space="preserve"> </w:t>
            </w:r>
            <w:r w:rsidRPr="002C3D10">
              <w:t>+</w:t>
            </w:r>
            <w:r w:rsidRPr="002C3D10">
              <w:rPr>
                <w:lang w:val="en-US"/>
              </w:rPr>
              <w:t xml:space="preserve"> </w:t>
            </w:r>
            <w:r w:rsidRPr="002C3D10">
              <w:t>18</w:t>
            </w:r>
            <w:r w:rsidRPr="002C3D10">
              <w:rPr>
                <w:lang w:val="en-US"/>
              </w:rPr>
              <w:t xml:space="preserve"> </w:t>
            </w:r>
            <w:r w:rsidRPr="002C3D10">
              <w:t>+</w:t>
            </w:r>
            <w:r w:rsidRPr="002C3D10">
              <w:rPr>
                <w:lang w:val="en-US"/>
              </w:rPr>
              <w:t xml:space="preserve"> </w:t>
            </w:r>
            <w:r w:rsidRPr="002C3D10">
              <w:t>19</w:t>
            </w:r>
            <w:r w:rsidRPr="002C3D10">
              <w:rPr>
                <w:lang w:val="en-US"/>
              </w:rPr>
              <w:t xml:space="preserve"> </w:t>
            </w:r>
            <w:r w:rsidRPr="002C3D10">
              <w:t>+</w:t>
            </w:r>
            <w:r w:rsidRPr="002C3D10">
              <w:rPr>
                <w:lang w:val="en-US"/>
              </w:rPr>
              <w:t xml:space="preserve"> </w:t>
            </w:r>
            <w:r w:rsidRPr="002C3D10">
              <w:t>20)</w:t>
            </w:r>
          </w:p>
        </w:tc>
      </w:tr>
      <w:tr w:rsidR="000F6C59" w:rsidRPr="002C3D10" w:rsidTr="000D54B9"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9" w:rsidRPr="002C3D10" w:rsidRDefault="000F6C59" w:rsidP="000D54B9">
            <w:pPr>
              <w:jc w:val="both"/>
            </w:pPr>
            <w:r w:rsidRPr="002C3D10">
              <w:t xml:space="preserve">гр. 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9" w:rsidRPr="002C3D10" w:rsidRDefault="000F6C59" w:rsidP="000D54B9">
            <w:pPr>
              <w:jc w:val="center"/>
            </w:pPr>
            <w:r w:rsidRPr="002C3D10">
              <w:t>=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F6C59" w:rsidRPr="002C3D10" w:rsidRDefault="000F6C59" w:rsidP="000D54B9">
            <w:r w:rsidRPr="002C3D10">
              <w:t>гр. (4</w:t>
            </w:r>
            <w:r w:rsidRPr="002C3D10">
              <w:rPr>
                <w:lang w:val="en-US"/>
              </w:rPr>
              <w:t xml:space="preserve"> </w:t>
            </w:r>
            <w:r w:rsidRPr="002C3D10">
              <w:t>+</w:t>
            </w:r>
            <w:r w:rsidRPr="002C3D10">
              <w:rPr>
                <w:lang w:val="en-US"/>
              </w:rPr>
              <w:t xml:space="preserve"> </w:t>
            </w:r>
            <w:r w:rsidRPr="002C3D10">
              <w:t>5</w:t>
            </w:r>
            <w:r w:rsidRPr="002C3D10">
              <w:rPr>
                <w:lang w:val="en-US"/>
              </w:rPr>
              <w:t xml:space="preserve"> </w:t>
            </w:r>
            <w:r w:rsidRPr="002C3D10">
              <w:t>+</w:t>
            </w:r>
            <w:r w:rsidRPr="002C3D10">
              <w:rPr>
                <w:lang w:val="en-US"/>
              </w:rPr>
              <w:t xml:space="preserve"> </w:t>
            </w:r>
            <w:r w:rsidRPr="002C3D10">
              <w:t>6)</w:t>
            </w:r>
          </w:p>
        </w:tc>
      </w:tr>
      <w:tr w:rsidR="000F6C59" w:rsidRPr="002C3D10" w:rsidTr="000D54B9"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9" w:rsidRPr="002C3D10" w:rsidRDefault="000F6C59" w:rsidP="000D54B9">
            <w:pPr>
              <w:jc w:val="both"/>
            </w:pPr>
            <w:r w:rsidRPr="002C3D10">
              <w:t xml:space="preserve">гр. 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9" w:rsidRPr="002C3D10" w:rsidRDefault="000F6C59" w:rsidP="000D54B9">
            <w:pPr>
              <w:jc w:val="center"/>
            </w:pPr>
            <w:r w:rsidRPr="002C3D10">
              <w:sym w:font="Symbol" w:char="F0A3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F6C59" w:rsidRPr="002C3D10" w:rsidRDefault="000F6C59" w:rsidP="000D54B9">
            <w:r w:rsidRPr="002C3D10">
              <w:t>гр. 8</w:t>
            </w:r>
          </w:p>
        </w:tc>
      </w:tr>
      <w:tr w:rsidR="000F6C59" w:rsidRPr="002C3D10" w:rsidTr="000D54B9"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F6C59" w:rsidRPr="002C3D10" w:rsidRDefault="000F6C59" w:rsidP="000D54B9">
            <w:pPr>
              <w:jc w:val="both"/>
            </w:pPr>
            <w:r w:rsidRPr="002C3D10">
              <w:t>гр.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F6C59" w:rsidRPr="002C3D10" w:rsidRDefault="000F6C59" w:rsidP="000D54B9">
            <w:pPr>
              <w:jc w:val="center"/>
            </w:pPr>
            <w:r w:rsidRPr="002C3D10">
              <w:sym w:font="Symbol" w:char="F0A3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F6C59" w:rsidRPr="002C3D10" w:rsidRDefault="000F6C59" w:rsidP="000D54B9">
            <w:r w:rsidRPr="002C3D10">
              <w:t>гр. 8</w:t>
            </w:r>
          </w:p>
        </w:tc>
      </w:tr>
    </w:tbl>
    <w:p w:rsidR="000F6C59" w:rsidRPr="002C3D10" w:rsidRDefault="000F6C59" w:rsidP="000F6C59">
      <w:pPr>
        <w:pStyle w:val="a8"/>
        <w:tabs>
          <w:tab w:val="left" w:pos="13183"/>
          <w:tab w:val="left" w:pos="13467"/>
        </w:tabs>
        <w:spacing w:after="0" w:line="220" w:lineRule="exact"/>
        <w:ind w:left="119" w:right="-57" w:firstLine="499"/>
        <w:jc w:val="right"/>
      </w:pPr>
      <w:r w:rsidRPr="002C3D10">
        <w:t xml:space="preserve">  Приложение</w:t>
      </w:r>
    </w:p>
    <w:p w:rsidR="000F6C59" w:rsidRPr="002C3D10" w:rsidRDefault="000F6C59" w:rsidP="000F6C59">
      <w:pPr>
        <w:pStyle w:val="a8"/>
        <w:tabs>
          <w:tab w:val="left" w:pos="13183"/>
          <w:tab w:val="left" w:pos="13467"/>
        </w:tabs>
        <w:spacing w:after="0" w:line="220" w:lineRule="exact"/>
        <w:ind w:left="119" w:right="-57" w:firstLine="499"/>
        <w:jc w:val="center"/>
      </w:pPr>
      <w:r w:rsidRPr="002C3D10">
        <w:lastRenderedPageBreak/>
        <w:tab/>
        <w:t xml:space="preserve">    к форме</w:t>
      </w:r>
    </w:p>
    <w:p w:rsidR="000F6C59" w:rsidRPr="000F6C59" w:rsidRDefault="000F6C59" w:rsidP="000F6C59">
      <w:pPr>
        <w:pStyle w:val="a8"/>
        <w:tabs>
          <w:tab w:val="left" w:pos="13183"/>
          <w:tab w:val="left" w:pos="13467"/>
        </w:tabs>
        <w:spacing w:after="0" w:line="220" w:lineRule="exact"/>
        <w:ind w:left="119" w:right="-199" w:firstLine="499"/>
        <w:jc w:val="center"/>
      </w:pPr>
      <w:r w:rsidRPr="002C3D10">
        <w:tab/>
        <w:t xml:space="preserve">   (справочно)</w:t>
      </w:r>
    </w:p>
    <w:p w:rsidR="000F6C59" w:rsidRPr="002C3D10" w:rsidRDefault="000F6C59" w:rsidP="000F6C59">
      <w:pPr>
        <w:pStyle w:val="a8"/>
        <w:tabs>
          <w:tab w:val="left" w:pos="4962"/>
        </w:tabs>
        <w:spacing w:after="60" w:line="240" w:lineRule="exact"/>
        <w:ind w:left="119"/>
        <w:jc w:val="center"/>
        <w:rPr>
          <w:b/>
        </w:rPr>
      </w:pPr>
      <w:r w:rsidRPr="002C3D10">
        <w:rPr>
          <w:b/>
        </w:rPr>
        <w:t xml:space="preserve">Содержание питательного вещества </w:t>
      </w:r>
      <w:r w:rsidRPr="002C3D10">
        <w:rPr>
          <w:b/>
        </w:rPr>
        <w:br/>
        <w:t>в некоторых видах минеральных удобрений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1"/>
      </w:tblGrid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pStyle w:val="2"/>
              <w:spacing w:before="20" w:line="220" w:lineRule="exact"/>
              <w:ind w:left="119" w:firstLine="499"/>
              <w:rPr>
                <w:rFonts w:ascii="Times New Roman" w:hAnsi="Times New Roman"/>
                <w:szCs w:val="24"/>
              </w:rPr>
            </w:pPr>
            <w:r w:rsidRPr="002C3D10">
              <w:rPr>
                <w:rFonts w:ascii="Times New Roman" w:hAnsi="Times New Roman"/>
                <w:szCs w:val="24"/>
              </w:rPr>
              <w:t>I. Азотные удобрения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220" w:lineRule="exact"/>
              <w:ind w:left="284" w:firstLine="499"/>
              <w:rPr>
                <w:b/>
                <w:sz w:val="20"/>
              </w:rPr>
            </w:pPr>
            <w:r w:rsidRPr="002C3D10">
              <w:rPr>
                <w:b/>
                <w:sz w:val="20"/>
              </w:rPr>
              <w:t>Примерное содержание N (в%)</w:t>
            </w: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rPr>
                <w:sz w:val="20"/>
              </w:rPr>
            </w:pPr>
            <w:r w:rsidRPr="002C3D10">
              <w:rPr>
                <w:sz w:val="20"/>
              </w:rPr>
              <w:t>Аммиачная селитра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34</w:t>
            </w: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rPr>
                <w:sz w:val="20"/>
              </w:rPr>
            </w:pPr>
            <w:r w:rsidRPr="002C3D10">
              <w:rPr>
                <w:sz w:val="20"/>
              </w:rPr>
              <w:t>Аммиачная вода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21</w:t>
            </w: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rPr>
                <w:sz w:val="20"/>
              </w:rPr>
            </w:pPr>
            <w:r w:rsidRPr="002C3D10">
              <w:rPr>
                <w:sz w:val="20"/>
              </w:rPr>
              <w:t>Аммиак жидкий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82,2</w:t>
            </w: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rPr>
                <w:sz w:val="20"/>
              </w:rPr>
            </w:pPr>
            <w:r w:rsidRPr="002C3D10">
              <w:rPr>
                <w:sz w:val="20"/>
              </w:rPr>
              <w:t>Кальциевая селитра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17</w:t>
            </w: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rPr>
                <w:sz w:val="20"/>
              </w:rPr>
            </w:pPr>
            <w:r w:rsidRPr="002C3D10">
              <w:rPr>
                <w:sz w:val="20"/>
              </w:rPr>
              <w:t>Калиевая селитра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N – 14; калия – 38</w:t>
            </w: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rPr>
                <w:sz w:val="20"/>
              </w:rPr>
            </w:pPr>
            <w:r w:rsidRPr="002C3D10">
              <w:rPr>
                <w:sz w:val="20"/>
              </w:rPr>
              <w:t>Мочевина (карбамид)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46</w:t>
            </w: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rPr>
                <w:sz w:val="20"/>
              </w:rPr>
            </w:pPr>
            <w:r w:rsidRPr="002C3D10">
              <w:rPr>
                <w:sz w:val="20"/>
              </w:rPr>
              <w:t>Натриевая селитра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15–17</w:t>
            </w: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rPr>
                <w:sz w:val="20"/>
              </w:rPr>
            </w:pPr>
            <w:r w:rsidRPr="002C3D10">
              <w:rPr>
                <w:sz w:val="20"/>
              </w:rPr>
              <w:t>Сульфат аммония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21</w:t>
            </w: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rPr>
                <w:sz w:val="20"/>
              </w:rPr>
            </w:pPr>
            <w:r w:rsidRPr="002C3D10">
              <w:rPr>
                <w:sz w:val="20"/>
              </w:rPr>
              <w:t>Безводный аммиак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82</w:t>
            </w: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rPr>
                <w:sz w:val="20"/>
              </w:rPr>
            </w:pPr>
            <w:r w:rsidRPr="002C3D10">
              <w:rPr>
                <w:sz w:val="20"/>
              </w:rPr>
              <w:t>Удобрение жидкое азотное (КАС)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30</w:t>
            </w: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F6C59" w:rsidRPr="002C3D10" w:rsidRDefault="000F6C59" w:rsidP="000D54B9">
            <w:pPr>
              <w:spacing w:line="170" w:lineRule="exact"/>
              <w:rPr>
                <w:sz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0F6C59" w:rsidRPr="002C3D10" w:rsidRDefault="000F6C59" w:rsidP="000D54B9">
            <w:pPr>
              <w:spacing w:line="170" w:lineRule="exact"/>
              <w:ind w:left="284"/>
              <w:rPr>
                <w:sz w:val="18"/>
              </w:rPr>
            </w:pP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pStyle w:val="2"/>
              <w:spacing w:before="0" w:line="220" w:lineRule="exact"/>
              <w:ind w:left="119" w:firstLine="499"/>
              <w:rPr>
                <w:rFonts w:ascii="Times New Roman" w:hAnsi="Times New Roman"/>
                <w:szCs w:val="24"/>
              </w:rPr>
            </w:pPr>
            <w:r w:rsidRPr="002C3D10">
              <w:rPr>
                <w:rFonts w:ascii="Times New Roman" w:hAnsi="Times New Roman"/>
                <w:szCs w:val="24"/>
              </w:rPr>
              <w:t>II. Фосфорные удобрения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220" w:lineRule="exact"/>
              <w:ind w:left="284" w:firstLine="499"/>
              <w:rPr>
                <w:b/>
                <w:sz w:val="20"/>
              </w:rPr>
            </w:pPr>
            <w:r w:rsidRPr="002C3D10">
              <w:rPr>
                <w:b/>
                <w:sz w:val="20"/>
              </w:rPr>
              <w:t>Примерное содержание P</w:t>
            </w:r>
            <w:r w:rsidRPr="002C3D10">
              <w:rPr>
                <w:b/>
                <w:sz w:val="20"/>
                <w:vertAlign w:val="subscript"/>
              </w:rPr>
              <w:t>2</w:t>
            </w:r>
            <w:r w:rsidRPr="002C3D10">
              <w:rPr>
                <w:b/>
                <w:sz w:val="20"/>
              </w:rPr>
              <w:t>O</w:t>
            </w:r>
            <w:r w:rsidRPr="002C3D10">
              <w:rPr>
                <w:b/>
                <w:sz w:val="20"/>
                <w:vertAlign w:val="subscript"/>
              </w:rPr>
              <w:t>5</w:t>
            </w:r>
            <w:r w:rsidRPr="002C3D10">
              <w:rPr>
                <w:b/>
                <w:sz w:val="20"/>
              </w:rPr>
              <w:t xml:space="preserve"> (в %)</w:t>
            </w: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rPr>
                <w:sz w:val="20"/>
              </w:rPr>
            </w:pPr>
            <w:r w:rsidRPr="002C3D10">
              <w:rPr>
                <w:sz w:val="20"/>
              </w:rPr>
              <w:t>Суперфосфат двойной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45–50</w:t>
            </w: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rPr>
                <w:sz w:val="20"/>
              </w:rPr>
            </w:pPr>
            <w:r w:rsidRPr="002C3D10">
              <w:rPr>
                <w:sz w:val="20"/>
              </w:rPr>
              <w:t>Суперфосфат гранулированный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20</w:t>
            </w: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rPr>
                <w:sz w:val="20"/>
              </w:rPr>
            </w:pPr>
            <w:r w:rsidRPr="002C3D10">
              <w:rPr>
                <w:sz w:val="20"/>
              </w:rPr>
              <w:t xml:space="preserve">Комплекс удобрения фосфатного (КУФ) </w:t>
            </w:r>
            <w:r w:rsidRPr="002C3D10">
              <w:rPr>
                <w:sz w:val="20"/>
              </w:rPr>
              <w:br/>
              <w:t xml:space="preserve">          (суперфосфат улучшенный)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26</w:t>
            </w: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rPr>
                <w:sz w:val="20"/>
              </w:rPr>
            </w:pPr>
            <w:r w:rsidRPr="002C3D10">
              <w:rPr>
                <w:sz w:val="20"/>
              </w:rPr>
              <w:t xml:space="preserve">Удобрение фосфорное медленного действия 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43</w:t>
            </w: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F6C59" w:rsidRPr="002C3D10" w:rsidRDefault="000F6C59" w:rsidP="000D54B9">
            <w:pPr>
              <w:spacing w:line="140" w:lineRule="exact"/>
              <w:ind w:firstLine="499"/>
              <w:rPr>
                <w:sz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0F6C59" w:rsidRPr="002C3D10" w:rsidRDefault="000F6C59" w:rsidP="000D54B9">
            <w:pPr>
              <w:spacing w:line="140" w:lineRule="exact"/>
              <w:ind w:left="284" w:firstLine="499"/>
              <w:rPr>
                <w:sz w:val="18"/>
              </w:rPr>
            </w:pP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pStyle w:val="2"/>
              <w:spacing w:before="0" w:after="0" w:line="220" w:lineRule="exact"/>
              <w:ind w:left="119" w:firstLine="499"/>
              <w:rPr>
                <w:rFonts w:ascii="Times New Roman" w:hAnsi="Times New Roman"/>
                <w:szCs w:val="24"/>
              </w:rPr>
            </w:pPr>
            <w:r w:rsidRPr="002C3D10">
              <w:rPr>
                <w:rFonts w:ascii="Times New Roman" w:hAnsi="Times New Roman"/>
                <w:szCs w:val="24"/>
              </w:rPr>
              <w:t>III. Фосфоритная мука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220" w:lineRule="exact"/>
              <w:ind w:left="284" w:firstLine="499"/>
              <w:rPr>
                <w:sz w:val="20"/>
              </w:rPr>
            </w:pPr>
            <w:r w:rsidRPr="002C3D10">
              <w:rPr>
                <w:b/>
                <w:sz w:val="20"/>
              </w:rPr>
              <w:t>Примерное содержание P</w:t>
            </w:r>
            <w:r w:rsidRPr="002C3D10">
              <w:rPr>
                <w:b/>
                <w:sz w:val="20"/>
                <w:vertAlign w:val="subscript"/>
              </w:rPr>
              <w:t>2</w:t>
            </w:r>
            <w:r w:rsidRPr="002C3D10">
              <w:rPr>
                <w:b/>
                <w:sz w:val="20"/>
              </w:rPr>
              <w:t>O</w:t>
            </w:r>
            <w:r w:rsidRPr="002C3D10">
              <w:rPr>
                <w:b/>
                <w:sz w:val="20"/>
                <w:vertAlign w:val="subscript"/>
              </w:rPr>
              <w:t>5</w:t>
            </w:r>
            <w:r w:rsidRPr="002C3D10">
              <w:rPr>
                <w:b/>
                <w:sz w:val="20"/>
              </w:rPr>
              <w:t xml:space="preserve"> </w:t>
            </w:r>
            <w:r w:rsidRPr="002C3D10">
              <w:rPr>
                <w:sz w:val="20"/>
              </w:rPr>
              <w:t>– 19–25%</w:t>
            </w: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F6C59" w:rsidRPr="002C3D10" w:rsidRDefault="000F6C59" w:rsidP="000D54B9">
            <w:pPr>
              <w:spacing w:line="140" w:lineRule="exact"/>
              <w:ind w:firstLine="499"/>
              <w:rPr>
                <w:sz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0F6C59" w:rsidRPr="002C3D10" w:rsidRDefault="000F6C59" w:rsidP="000D54B9">
            <w:pPr>
              <w:spacing w:line="140" w:lineRule="exact"/>
              <w:ind w:left="284" w:firstLine="499"/>
              <w:rPr>
                <w:sz w:val="18"/>
              </w:rPr>
            </w:pP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pStyle w:val="2"/>
              <w:spacing w:before="0" w:line="220" w:lineRule="exact"/>
              <w:ind w:left="119" w:firstLine="499"/>
              <w:rPr>
                <w:rFonts w:ascii="Times New Roman" w:hAnsi="Times New Roman"/>
                <w:szCs w:val="24"/>
              </w:rPr>
            </w:pPr>
            <w:r w:rsidRPr="002C3D10">
              <w:rPr>
                <w:rFonts w:ascii="Times New Roman" w:hAnsi="Times New Roman"/>
                <w:szCs w:val="24"/>
              </w:rPr>
              <w:t>IV. Калийные удобрения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220" w:lineRule="exact"/>
              <w:ind w:left="284" w:firstLine="499"/>
              <w:rPr>
                <w:b/>
                <w:sz w:val="20"/>
              </w:rPr>
            </w:pPr>
            <w:r w:rsidRPr="002C3D10">
              <w:rPr>
                <w:b/>
                <w:sz w:val="20"/>
              </w:rPr>
              <w:t>Примерное содержание К</w:t>
            </w:r>
            <w:r w:rsidRPr="002C3D10">
              <w:rPr>
                <w:b/>
                <w:sz w:val="20"/>
                <w:vertAlign w:val="subscript"/>
              </w:rPr>
              <w:t>2</w:t>
            </w:r>
            <w:r w:rsidRPr="002C3D10">
              <w:rPr>
                <w:b/>
                <w:sz w:val="20"/>
              </w:rPr>
              <w:t>O (в %)</w:t>
            </w: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rPr>
                <w:sz w:val="20"/>
              </w:rPr>
            </w:pPr>
            <w:r w:rsidRPr="002C3D10">
              <w:rPr>
                <w:sz w:val="20"/>
              </w:rPr>
              <w:t>Хлористый калий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60</w:t>
            </w: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rPr>
                <w:sz w:val="20"/>
              </w:rPr>
            </w:pPr>
            <w:r w:rsidRPr="002C3D10">
              <w:rPr>
                <w:sz w:val="20"/>
              </w:rPr>
              <w:t>Калийные соли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ind w:left="284"/>
              <w:rPr>
                <w:sz w:val="20"/>
                <w:lang w:val="en-US"/>
              </w:rPr>
            </w:pPr>
            <w:r w:rsidRPr="002C3D10">
              <w:rPr>
                <w:sz w:val="20"/>
              </w:rPr>
              <w:t>различное</w:t>
            </w: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rPr>
                <w:sz w:val="20"/>
              </w:rPr>
            </w:pPr>
            <w:r w:rsidRPr="002C3D10">
              <w:rPr>
                <w:sz w:val="20"/>
              </w:rPr>
              <w:t>Сульфат калия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50</w:t>
            </w: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rPr>
                <w:sz w:val="20"/>
              </w:rPr>
            </w:pPr>
            <w:r w:rsidRPr="002C3D10">
              <w:rPr>
                <w:sz w:val="20"/>
              </w:rPr>
              <w:t>Калимагнезия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7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28</w:t>
            </w:r>
          </w:p>
        </w:tc>
      </w:tr>
      <w:tr w:rsidR="000F6C59" w:rsidRPr="002C3D10" w:rsidTr="000D54B9">
        <w:trPr>
          <w:trHeight w:val="8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F6C59" w:rsidRPr="002C3D10" w:rsidRDefault="000F6C59" w:rsidP="000D54B9">
            <w:pPr>
              <w:spacing w:line="170" w:lineRule="exact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0F6C59" w:rsidRPr="002C3D10" w:rsidRDefault="000F6C59" w:rsidP="000D54B9">
            <w:pPr>
              <w:spacing w:line="170" w:lineRule="exact"/>
              <w:ind w:left="284"/>
              <w:rPr>
                <w:sz w:val="16"/>
              </w:rPr>
            </w:pPr>
          </w:p>
        </w:tc>
      </w:tr>
      <w:tr w:rsidR="000F6C59" w:rsidRPr="002C3D10" w:rsidTr="000D54B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pStyle w:val="2"/>
              <w:spacing w:before="0" w:line="220" w:lineRule="exact"/>
              <w:ind w:left="119" w:firstLine="499"/>
              <w:rPr>
                <w:rFonts w:ascii="Times New Roman" w:hAnsi="Times New Roman"/>
                <w:szCs w:val="24"/>
              </w:rPr>
            </w:pPr>
            <w:r w:rsidRPr="002C3D10">
              <w:rPr>
                <w:rFonts w:ascii="Times New Roman" w:hAnsi="Times New Roman"/>
                <w:szCs w:val="24"/>
              </w:rPr>
              <w:t>V. Сложные удобрения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220" w:lineRule="exact"/>
              <w:ind w:left="284" w:firstLine="499"/>
              <w:rPr>
                <w:b/>
                <w:sz w:val="20"/>
              </w:rPr>
            </w:pPr>
            <w:r w:rsidRPr="002C3D10">
              <w:rPr>
                <w:b/>
                <w:sz w:val="20"/>
              </w:rPr>
              <w:t>Примерное содержание N, Р</w:t>
            </w:r>
            <w:r w:rsidRPr="002C3D10">
              <w:rPr>
                <w:b/>
                <w:sz w:val="20"/>
                <w:vertAlign w:val="subscript"/>
              </w:rPr>
              <w:t>2</w:t>
            </w:r>
            <w:r w:rsidRPr="002C3D10">
              <w:rPr>
                <w:b/>
                <w:sz w:val="20"/>
              </w:rPr>
              <w:t>0</w:t>
            </w:r>
            <w:r w:rsidRPr="002C3D10">
              <w:rPr>
                <w:b/>
                <w:sz w:val="20"/>
                <w:vertAlign w:val="subscript"/>
              </w:rPr>
              <w:t xml:space="preserve">5, </w:t>
            </w:r>
            <w:r w:rsidRPr="002C3D10">
              <w:rPr>
                <w:b/>
                <w:sz w:val="20"/>
              </w:rPr>
              <w:t>К</w:t>
            </w:r>
            <w:r w:rsidRPr="002C3D10">
              <w:rPr>
                <w:b/>
                <w:sz w:val="20"/>
                <w:vertAlign w:val="subscript"/>
              </w:rPr>
              <w:t>2</w:t>
            </w:r>
            <w:r w:rsidRPr="002C3D10">
              <w:rPr>
                <w:b/>
                <w:sz w:val="20"/>
              </w:rPr>
              <w:t>О (в %)</w:t>
            </w:r>
          </w:p>
        </w:tc>
      </w:tr>
      <w:tr w:rsidR="000F6C59" w:rsidRPr="002C3D10" w:rsidTr="000D54B9">
        <w:trPr>
          <w:cantSplit/>
          <w:trHeight w:val="2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rPr>
                <w:sz w:val="20"/>
              </w:rPr>
            </w:pPr>
            <w:r w:rsidRPr="002C3D10">
              <w:rPr>
                <w:sz w:val="20"/>
              </w:rPr>
              <w:t>Аммофос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12; 52, 0  и  11, 42, 0</w:t>
            </w:r>
          </w:p>
        </w:tc>
      </w:tr>
      <w:tr w:rsidR="000F6C59" w:rsidRPr="002C3D10" w:rsidTr="000D54B9">
        <w:trPr>
          <w:cantSplit/>
          <w:trHeight w:val="2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rPr>
                <w:sz w:val="20"/>
              </w:rPr>
            </w:pPr>
            <w:r w:rsidRPr="002C3D10">
              <w:rPr>
                <w:sz w:val="20"/>
              </w:rPr>
              <w:t>Диаммофоска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10, 26, 26</w:t>
            </w:r>
          </w:p>
        </w:tc>
      </w:tr>
      <w:tr w:rsidR="000F6C59" w:rsidRPr="002C3D10" w:rsidTr="000D54B9">
        <w:trPr>
          <w:cantSplit/>
          <w:trHeight w:val="2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rPr>
                <w:sz w:val="20"/>
              </w:rPr>
            </w:pPr>
            <w:r w:rsidRPr="002C3D10">
              <w:rPr>
                <w:sz w:val="20"/>
              </w:rPr>
              <w:t>Азофоска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16, 16, 16  и  22, 11, 11</w:t>
            </w:r>
          </w:p>
        </w:tc>
      </w:tr>
      <w:tr w:rsidR="000F6C59" w:rsidRPr="002C3D10" w:rsidTr="000D54B9">
        <w:trPr>
          <w:cantSplit/>
          <w:trHeight w:val="2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pStyle w:val="21"/>
              <w:spacing w:line="180" w:lineRule="exact"/>
              <w:rPr>
                <w:rFonts w:ascii="Times New Roman" w:hAnsi="Times New Roman"/>
              </w:rPr>
            </w:pPr>
            <w:r w:rsidRPr="002C3D10">
              <w:rPr>
                <w:rFonts w:ascii="Times New Roman" w:hAnsi="Times New Roman"/>
              </w:rPr>
              <w:t>Нитрофоска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11, 10, 11</w:t>
            </w:r>
          </w:p>
        </w:tc>
      </w:tr>
      <w:tr w:rsidR="000F6C59" w:rsidRPr="002C3D10" w:rsidTr="000D54B9">
        <w:trPr>
          <w:cantSplit/>
          <w:trHeight w:val="2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rPr>
                <w:sz w:val="20"/>
              </w:rPr>
            </w:pPr>
            <w:r w:rsidRPr="002C3D10">
              <w:rPr>
                <w:sz w:val="20"/>
              </w:rPr>
              <w:t>Нитроаммофоска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16, 16, 16</w:t>
            </w:r>
          </w:p>
        </w:tc>
      </w:tr>
      <w:tr w:rsidR="000F6C59" w:rsidRPr="002C3D10" w:rsidTr="000D54B9">
        <w:trPr>
          <w:cantSplit/>
          <w:trHeight w:val="2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rPr>
                <w:sz w:val="20"/>
              </w:rPr>
            </w:pPr>
            <w:r w:rsidRPr="002C3D10">
              <w:rPr>
                <w:sz w:val="20"/>
              </w:rPr>
              <w:t>Нитроаммофосфат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23, 21, 0</w:t>
            </w:r>
          </w:p>
        </w:tc>
      </w:tr>
      <w:tr w:rsidR="000F6C59" w:rsidRPr="002C3D10" w:rsidTr="000D54B9">
        <w:trPr>
          <w:cantSplit/>
          <w:trHeight w:val="2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rPr>
                <w:sz w:val="20"/>
              </w:rPr>
            </w:pPr>
            <w:r w:rsidRPr="002C3D10">
              <w:rPr>
                <w:sz w:val="20"/>
              </w:rPr>
              <w:t>Диаммонийфосфат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18, 46, 0</w:t>
            </w:r>
          </w:p>
        </w:tc>
      </w:tr>
      <w:tr w:rsidR="000F6C59" w:rsidRPr="002C3D10" w:rsidTr="000D54B9">
        <w:trPr>
          <w:cantSplit/>
          <w:trHeight w:val="2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rPr>
                <w:sz w:val="20"/>
              </w:rPr>
            </w:pPr>
            <w:r w:rsidRPr="002C3D10">
              <w:rPr>
                <w:sz w:val="20"/>
              </w:rPr>
              <w:t>Азопреципитат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26, 13, 0</w:t>
            </w:r>
          </w:p>
        </w:tc>
      </w:tr>
      <w:tr w:rsidR="000F6C59" w:rsidRPr="002C3D10" w:rsidTr="000D54B9">
        <w:trPr>
          <w:cantSplit/>
          <w:trHeight w:val="2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rPr>
                <w:sz w:val="20"/>
              </w:rPr>
            </w:pPr>
            <w:r w:rsidRPr="002C3D10">
              <w:rPr>
                <w:sz w:val="20"/>
              </w:rPr>
              <w:t>Тукосмеси (</w:t>
            </w:r>
            <w:r w:rsidRPr="002C3D10">
              <w:rPr>
                <w:sz w:val="20"/>
                <w:lang w:val="en-US"/>
              </w:rPr>
              <w:t>NPK</w:t>
            </w:r>
            <w:r w:rsidRPr="002C3D10">
              <w:rPr>
                <w:sz w:val="20"/>
              </w:rPr>
              <w:t xml:space="preserve"> и  </w:t>
            </w:r>
            <w:r w:rsidRPr="002C3D10">
              <w:rPr>
                <w:sz w:val="20"/>
                <w:lang w:val="en-US"/>
              </w:rPr>
              <w:t>PK)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различное</w:t>
            </w:r>
          </w:p>
        </w:tc>
      </w:tr>
      <w:tr w:rsidR="000F6C59" w:rsidRPr="002C3D10" w:rsidTr="000D54B9">
        <w:trPr>
          <w:cantSplit/>
          <w:trHeight w:val="2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rPr>
                <w:sz w:val="20"/>
              </w:rPr>
            </w:pPr>
            <w:r w:rsidRPr="002C3D10">
              <w:rPr>
                <w:sz w:val="20"/>
              </w:rPr>
              <w:t>Азотно-фосфорное удобрение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11, 48, 0</w:t>
            </w:r>
          </w:p>
        </w:tc>
      </w:tr>
      <w:tr w:rsidR="000F6C59" w:rsidRPr="002C3D10" w:rsidTr="000D54B9">
        <w:trPr>
          <w:cantSplit/>
          <w:trHeight w:val="2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rPr>
                <w:sz w:val="20"/>
              </w:rPr>
            </w:pPr>
            <w:r w:rsidRPr="002C3D10">
              <w:rPr>
                <w:sz w:val="20"/>
              </w:rPr>
              <w:t>Фосфорно-калийное удобрение (РК)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0, 18, 18</w:t>
            </w:r>
          </w:p>
        </w:tc>
      </w:tr>
      <w:tr w:rsidR="000F6C59" w:rsidRPr="002C3D10" w:rsidTr="000D54B9">
        <w:trPr>
          <w:cantSplit/>
          <w:trHeight w:val="2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rPr>
                <w:sz w:val="20"/>
              </w:rPr>
            </w:pPr>
            <w:r w:rsidRPr="002C3D10">
              <w:rPr>
                <w:sz w:val="20"/>
              </w:rPr>
              <w:t>Фосфат мочевины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18, 45, 0</w:t>
            </w:r>
          </w:p>
        </w:tc>
      </w:tr>
      <w:tr w:rsidR="000F6C59" w:rsidRPr="002C3D10" w:rsidTr="000D54B9">
        <w:trPr>
          <w:cantSplit/>
          <w:trHeight w:val="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rPr>
                <w:sz w:val="20"/>
              </w:rPr>
            </w:pPr>
            <w:r w:rsidRPr="002C3D10">
              <w:rPr>
                <w:sz w:val="20"/>
              </w:rPr>
              <w:t>Монофосфат  калия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0, 50, 33</w:t>
            </w:r>
          </w:p>
        </w:tc>
      </w:tr>
      <w:tr w:rsidR="000F6C59" w:rsidRPr="002C3D10" w:rsidTr="000D54B9">
        <w:trPr>
          <w:cantSplit/>
          <w:trHeight w:val="131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rPr>
                <w:sz w:val="20"/>
              </w:rPr>
            </w:pPr>
            <w:r w:rsidRPr="002C3D10">
              <w:rPr>
                <w:sz w:val="20"/>
              </w:rPr>
              <w:t>Кемира (различные)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ind w:left="284"/>
              <w:rPr>
                <w:sz w:val="20"/>
              </w:rPr>
            </w:pPr>
            <w:r w:rsidRPr="002C3D10">
              <w:rPr>
                <w:sz w:val="20"/>
              </w:rPr>
              <w:t>различное</w:t>
            </w:r>
          </w:p>
        </w:tc>
      </w:tr>
      <w:tr w:rsidR="000F6C59" w:rsidRPr="002C3D10" w:rsidTr="000D54B9">
        <w:trPr>
          <w:cantSplit/>
          <w:trHeight w:val="267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rPr>
                <w:sz w:val="20"/>
              </w:rPr>
            </w:pPr>
            <w:r w:rsidRPr="002C3D10">
              <w:rPr>
                <w:sz w:val="20"/>
              </w:rPr>
              <w:t>Жидкие комплексные удобрения (ЖКУ)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9" w:rsidRPr="002C3D10" w:rsidRDefault="000F6C59" w:rsidP="000D54B9">
            <w:pPr>
              <w:spacing w:line="180" w:lineRule="exact"/>
              <w:ind w:left="284"/>
              <w:rPr>
                <w:sz w:val="20"/>
                <w:u w:val="single"/>
              </w:rPr>
            </w:pPr>
            <w:r w:rsidRPr="002C3D10">
              <w:rPr>
                <w:sz w:val="20"/>
              </w:rPr>
              <w:t>10, 34, 0  и  10, 28, 0</w:t>
            </w:r>
          </w:p>
        </w:tc>
      </w:tr>
    </w:tbl>
    <w:p w:rsidR="000F6C59" w:rsidRPr="002C3D10" w:rsidRDefault="000F6C59" w:rsidP="000F6C59">
      <w:pPr>
        <w:spacing w:line="180" w:lineRule="exact"/>
        <w:rPr>
          <w:sz w:val="10"/>
          <w:szCs w:val="10"/>
          <w:lang w:val="en-US"/>
        </w:rPr>
      </w:pPr>
    </w:p>
    <w:p w:rsidR="00E06CFF" w:rsidRDefault="00E06CFF">
      <w:bookmarkStart w:id="0" w:name="_GoBack"/>
      <w:bookmarkEnd w:id="0"/>
    </w:p>
    <w:sectPr w:rsidR="00E06CFF">
      <w:headerReference w:type="even" r:id="rId5"/>
      <w:headerReference w:type="default" r:id="rId6"/>
      <w:pgSz w:w="16840" w:h="11907" w:orient="landscape" w:code="9"/>
      <w:pgMar w:top="1134" w:right="1021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800" w:rsidRDefault="000F6C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1800" w:rsidRDefault="000F6C5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800" w:rsidRDefault="000F6C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D1800" w:rsidRDefault="000F6C5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59"/>
    <w:rsid w:val="000F6C59"/>
    <w:rsid w:val="00E0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069DDC-1C6D-42EE-AE65-7DDF8320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C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0F6C59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C5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6C5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0F6C5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0F6C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0F6C59"/>
  </w:style>
  <w:style w:type="character" w:styleId="a6">
    <w:name w:val="Hyperlink"/>
    <w:semiHidden/>
    <w:rsid w:val="000F6C59"/>
    <w:rPr>
      <w:color w:val="0000FF"/>
      <w:u w:val="single"/>
    </w:rPr>
  </w:style>
  <w:style w:type="character" w:styleId="a7">
    <w:name w:val="footnote reference"/>
    <w:uiPriority w:val="99"/>
    <w:semiHidden/>
    <w:rsid w:val="000F6C59"/>
    <w:rPr>
      <w:vertAlign w:val="superscript"/>
    </w:rPr>
  </w:style>
  <w:style w:type="paragraph" w:styleId="a8">
    <w:name w:val="Body Text"/>
    <w:basedOn w:val="a"/>
    <w:link w:val="a9"/>
    <w:semiHidden/>
    <w:rsid w:val="000F6C59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0F6C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envelope return"/>
    <w:basedOn w:val="a"/>
    <w:rsid w:val="000F6C5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B85D92A8521CAB96DE090386102631900BD913158CD1BC675F7A9D74E82E4AFFE5343DBB29570EA9MEp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Бовыкина Фаина Александровна</dc:creator>
  <cp:keywords/>
  <dc:description/>
  <cp:lastModifiedBy>Бовыкина Фаина Александровна</cp:lastModifiedBy>
  <cp:revision>1</cp:revision>
  <dcterms:created xsi:type="dcterms:W3CDTF">2022-12-29T09:16:00Z</dcterms:created>
  <dcterms:modified xsi:type="dcterms:W3CDTF">2022-12-29T09:18:00Z</dcterms:modified>
</cp:coreProperties>
</file>